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0"/>
      </w:pPr>
      <w:r>
        <w:drawing>
          <wp:inline distT="0" distB="0" distL="0" distR="0">
            <wp:extent cx="1352550" cy="790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F8B7E"/>
          <w:sz w:val="28"/>
          <w:szCs w:val="28"/>
        </w:rPr>
        <w:t xml:space="preserve">Информационная система в Здравоохранении</w:t>
      </w:r>
    </w:p>
    <w:p>
      <w:pPr>
        <w:spacing w:after="90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Курс для руководителей клиник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A645C"/>
          <w:spacing w:val="20"/>
          <w:sz w:val="26"/>
          <w:szCs w:val="26"/>
        </w:rPr>
        <w:t xml:space="preserve">МОДУЛЬ 1</w:t>
      </w:r>
    </w:p>
    <w:p>
      <w:pPr>
        <w:spacing w:after="200" w:line="264"/>
      </w:pPr>
      <w:r>
        <w:rPr>
          <w:rFonts w:ascii="Calibri" w:cs="Calibri" w:eastAsia="Calibri" w:hAnsi="Calibri"/>
          <w:b/>
          <w:bCs/>
          <w:color w:val="0B1F1E"/>
          <w:sz w:val="48"/>
          <w:szCs w:val="48"/>
        </w:rPr>
        <w:t xml:space="preserve">Электронные медицинские записи и анализ данных</w:t>
      </w:r>
    </w:p>
    <w:p>
      <w:pPr>
        <w:spacing w:after="600"/>
      </w:pPr>
      <w:r>
        <w:rPr>
          <w:rFonts w:ascii="Calibri" w:cs="Calibri" w:eastAsia="Calibri" w:hAnsi="Calibri"/>
          <w:color w:val="2E4A47"/>
          <w:sz w:val="28"/>
          <w:szCs w:val="28"/>
        </w:rPr>
        <w:t xml:space="preserve">От записи о пациенте — к управленческому решению</w:t>
      </w:r>
    </w:p>
    <w:p>
      <w:pPr>
        <w:pBdr>
          <w:top w:val="single" w:color="0F8B7E" w:sz="12" w:space="8"/>
        </w:pBdr>
        <w:spacing w:after="2200"/>
      </w:pPr>
      <w:r>
        <w:rPr>
          <w:rFonts w:ascii="Calibri" w:cs="Calibri" w:eastAsia="Calibri" w:hAnsi="Calibri"/>
          <w:b/>
          <w:bCs/>
          <w:color w:val="0F8B7E"/>
          <w:sz w:val="26"/>
          <w:szCs w:val="26"/>
        </w:rPr>
        <w:t xml:space="preserve">Конспект для слушателей</w:t>
      </w:r>
    </w:p>
    <w:p>
      <w:pPr>
        <w:spacing w:after="60"/>
      </w:pPr>
      <w:r>
        <w:rPr>
          <w:rFonts w:ascii="Calibri" w:cs="Calibri" w:eastAsia="Calibri" w:hAnsi="Calibri"/>
          <w:color w:val="6A7F7C"/>
        </w:rPr>
        <w:t xml:space="preserve">Лектор: </w:t>
      </w:r>
      <w:r>
        <w:rPr>
          <w:rFonts w:ascii="Calibri" w:cs="Calibri" w:eastAsia="Calibri" w:hAnsi="Calibri"/>
          <w:b/>
          <w:bCs/>
        </w:rPr>
        <w:t xml:space="preserve">Шохрух Султанов</w:t>
      </w:r>
    </w:p>
    <w:p>
      <w:r>
        <w:rPr>
          <w:rFonts w:ascii="Calibri" w:cs="Calibri" w:eastAsia="Calibri" w:hAnsi="Calibri"/>
          <w:color w:val="6A7F7C"/>
        </w:rPr>
        <w:t xml:space="preserve">Westminster International University in Tashkent · 2026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Цели модуля</w:t>
      </w:r>
    </w:p>
    <w:p>
      <w:pPr>
        <w:spacing w:after="80"/>
      </w:pPr>
      <w:r>
        <w:rPr>
          <w:rFonts w:ascii="Calibri" w:cs="Calibri" w:eastAsia="Calibri" w:hAnsi="Calibri"/>
        </w:rPr>
        <w:t xml:space="preserve">После модуля вы сможете: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Знать, какие данные собирает современная медицинская запись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Понимать стандарты, на которых строится обмен данными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Знать, что Приказ № 3758 требует от вашего учреждения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Контролировать качество данных: 6 измерений и роль руководителя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Различать 4 вида аналитики и требовать показатели из ЭМЗ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Защищать данные и подготовить клинику к сбоям системы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Содержание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1. Что хранится в медицинской записи сегодня</w:t>
      </w:r>
      <w:r>
        <w:rPr>
          <w:rFonts w:ascii="Calibri" w:cs="Calibri" w:eastAsia="Calibri" w:hAnsi="Calibri"/>
          <w:color w:val="2E4A47"/>
        </w:rPr>
        <w:t xml:space="preserve"> — От электронной копии бумажной карты — к основе для прогнозов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2. Единый язык данных: стандарты</w:t>
      </w:r>
      <w:r>
        <w:rPr>
          <w:rFonts w:ascii="Calibri" w:cs="Calibri" w:eastAsia="Calibri" w:hAnsi="Calibri"/>
          <w:color w:val="2E4A47"/>
        </w:rPr>
        <w:t xml:space="preserve"> — Чтобы системы понимали друг друга, а данные можно было сравнить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3. Национальная МИС и Приказ № 3758</w:t>
      </w:r>
      <w:r>
        <w:rPr>
          <w:rFonts w:ascii="Calibri" w:cs="Calibri" w:eastAsia="Calibri" w:hAnsi="Calibri"/>
          <w:color w:val="2E4A47"/>
        </w:rPr>
        <w:t xml:space="preserve"> — Национальная система и обязанности руководителя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4. Качество данных — задача руководителя</w:t>
      </w:r>
      <w:r>
        <w:rPr>
          <w:rFonts w:ascii="Calibri" w:cs="Calibri" w:eastAsia="Calibri" w:hAnsi="Calibri"/>
          <w:color w:val="2E4A47"/>
        </w:rPr>
        <w:t xml:space="preserve"> — Плохие данные → неверные показатели → неверные решения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5. Четыре вида аналитики</w:t>
      </w:r>
      <w:r>
        <w:rPr>
          <w:rFonts w:ascii="Calibri" w:cs="Calibri" w:eastAsia="Calibri" w:hAnsi="Calibri"/>
          <w:color w:val="2E4A47"/>
        </w:rPr>
        <w:t xml:space="preserve"> — Один пример — артериальная гипертензия — на всех уровнях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6. Почему запись должна быть полной и структурированной</w:t>
      </w:r>
      <w:r>
        <w:rPr>
          <w:rFonts w:ascii="Calibri" w:cs="Calibri" w:eastAsia="Calibri" w:hAnsi="Calibri"/>
          <w:color w:val="2E4A47"/>
        </w:rPr>
        <w:t xml:space="preserve"> — Что дают полные закодированные записи — и что бывает без проверки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7. Опыт других стран</w:t>
      </w:r>
      <w:r>
        <w:rPr>
          <w:rFonts w:ascii="Calibri" w:cs="Calibri" w:eastAsia="Calibri" w:hAnsi="Calibri"/>
          <w:color w:val="2E4A47"/>
        </w:rPr>
        <w:t xml:space="preserve"> — Что сработало и что не сработало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Часть 8. Внедрение в вашей клинике</w:t>
      </w:r>
      <w:r>
        <w:rPr>
          <w:rFonts w:ascii="Calibri" w:cs="Calibri" w:eastAsia="Calibri" w:hAnsi="Calibri"/>
          <w:color w:val="2E4A47"/>
        </w:rPr>
        <w:t xml:space="preserve"> — Защита данных, работа при сбоях и план главного врача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Итоговый тест</w:t>
      </w:r>
    </w:p>
    <w:p>
      <w:pPr>
        <w:spacing w:after="70"/>
        <w:ind w:left="340"/>
      </w:pPr>
      <w:r>
        <w:rPr>
          <w:rFonts w:ascii="Calibri" w:cs="Calibri" w:eastAsia="Calibri" w:hAnsi="Calibri"/>
          <w:b/>
          <w:bCs/>
        </w:rPr>
        <w:t xml:space="preserve">Источники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 лекторе</w:t>
      </w:r>
    </w:p>
    <w:p>
      <w:r>
        <w:rPr>
          <w:rFonts w:ascii="Calibri" w:cs="Calibri" w:eastAsia="Calibri" w:hAnsi="Calibri"/>
        </w:rPr>
        <w:t xml:space="preserve">Шохрух Султанов — исследователь искусственного интеллекта и разработчик в области медицинской информатики. Преподаватель Westminster International University in Tashkent (WIUT). Разрабатывает ИИ для клиник: MedScribe, Retina Uz. Исследования: ИИ для анализа медицинских изображений. Telegram: @sultanovshoh.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Какая доля медицинских записей в вашем учреждении сегодня ведётся в электронном виде?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&lt;25%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25–50%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50–75%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&gt;75%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Не знаю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Если много «не знаю» — это первый вывод: руководитель должен знать эту цифру.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Один пациент — три учреждения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На бумаге анализы повторяют, история теряется. В национальной МИС одна карта MED-ID доступна каждому лечащему врачу.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Пример: пациентка с диабетом — поликлиника, эндокринолог в областной больнице, лаборатория. Как часто пациенты у вас пересдают анализы, потому что результат остался «на бумаге в другой клинике»?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1. Что хранится в медицинской записи сегодня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От электронной копии бумажной карты — к основе для прогнозов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Классические слои медицинской записи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Из этих данных считают все показатели клиники и проверяют дисциплину.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Административный слой</w:t>
      </w:r>
      <w:r>
        <w:rPr>
          <w:rFonts w:ascii="Calibri" w:cs="Calibri" w:eastAsia="Calibri" w:hAnsi="Calibri"/>
        </w:rPr>
        <w:t xml:space="preserve"> — Кто пациент (MED-ID), отделение, врач, даты поступления и выписки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Клинический слой</w:t>
      </w:r>
      <w:r>
        <w:rPr>
          <w:rFonts w:ascii="Calibri" w:cs="Calibri" w:eastAsia="Calibri" w:hAnsi="Calibri"/>
        </w:rPr>
        <w:t xml:space="preserve"> — Жалобы, осмотр, диагноз по МКБ-10, назначения и рецепты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Результаты исследований</w:t>
      </w:r>
      <w:r>
        <w:rPr>
          <w:rFonts w:ascii="Calibri" w:cs="Calibri" w:eastAsia="Calibri" w:hAnsi="Calibri"/>
        </w:rPr>
        <w:t xml:space="preserve"> — Анализы, снимки, заключения специалистов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Журнал аудита</w:t>
      </w:r>
      <w:r>
        <w:rPr>
          <w:rFonts w:ascii="Calibri" w:cs="Calibri" w:eastAsia="Calibri" w:hAnsi="Calibri"/>
        </w:rPr>
        <w:t xml:space="preserve"> — Кто, когда и что открыл или изменил — защищает и пациента, и врача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EMR — запись одного учреждения, EHR — карта пациента во всех учреждениях (MED-ID), PHR — то, что пациент видит в приложении. Кто в вашей клинике может посмотреть, какой сотрудник открывал карту? Если никто — аудит не используется.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Свободный текст или структура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Свободный текст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«Гипертония, давление высокое»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Каждый врач пишет по-своему: сокращения, опечатки, синонимы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Нельзя посчитать, сколько у нас пациентов с гипертензией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Структурированные поля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Диагноз: I10 (МКБ-10) · АД: 160/95 мм рт. ст.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Выбор из списка вместо ручного ввода — один термин для всех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Отчёт за секунды: сколько пациентов с I10, у скольких давление под контролем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Ключевая мысль модуля: анализировать можно только структурированные данные. Свободный текст — для деталей, а код диагноза и цифры — только в полях.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Запись расширяется: новые виды данных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К диагнозам и анализам добавляются гены, данные устройств, ответы пациента и условия жизни. Польза — если они структурированы.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Главная мысль: ЭМЗ — не архив, а основа для поиска закономерностей и прогнозов. Каждый новый вид данных полезен, только если он структурирован и привязан к одному MED-ID.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Генетический результат в карте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НОВЫЕ ДАННЫЕ: ГЕНЫ · США · ДЕТСКАЯ БОЛЬНИЦА ST. JUDE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78%</w:t>
            </w:r>
            <w:r>
              <w:rPr>
                <w:rFonts w:ascii="Calibri" w:cs="Calibri" w:eastAsia="Calibri" w:hAnsi="Calibri"/>
                <w:color w:val="0B1F1E"/>
              </w:rPr>
              <w:t xml:space="preserve">   пациентов имели генотип, важный для выбора лекарства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Детей заранее обследовали по панели из 230 генов — до того, как понадобится лекарство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Результат хранится в ЭМЗ как поле; при назначении препарата врач видит подсказку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 95% случаев подсказка привела к правильному выбору лекарства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Генетический тест делают один раз. Он полезен, только если результат — поле в карте, а не скан PDF.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Am J Med Genet C, 2014; JAMIA, 2014 · PG4KDS  [1, 2]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Понятный пример — клопидогрел: с 2010 года в его инструкции предупреждение FDA, что при определённом варианте гена CYP2C19 препарат действует слабее. Если генотип есть в карте, система предупредит при назначении. Генетические данные по закону хранятся только в Узбекистане.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Смарт-часы: сигнал, а не диагноз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НОВЫЕ ДАННЫЕ: НОСИМЫЕ УСТРОЙСТВА · США · 2019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419 297</w:t>
            </w:r>
            <w:r>
              <w:rPr>
                <w:rFonts w:ascii="Calibri" w:cs="Calibri" w:eastAsia="Calibri" w:hAnsi="Calibri"/>
                <w:color w:val="0B1F1E"/>
              </w:rPr>
              <w:t xml:space="preserve">   участников; уведомление о нерегулярном пульсе получили 0,52%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Часы отмечали нерегулярный пульс; участнику высылали ЭКГ-патч для проверки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Фибрилляция предсердий подтвердилась у 34% вернувших пригодный патч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Каждый сигнал — это визит, ЭКГ и время врача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Данные устройств полезны, если приходят по стандартному каналу и назначен ответственный за их просмотр.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NEJM, 2019 · Apple Heart Study (Perez et al.)  [4]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скрининговый сигнал, а не диагноз. Если такие данные начнут поступать в клинику, нужен порядок: кто их смотрит, в какой срок и что делает дальше. Канал — стандартный, а не снимки экрана в мессенджере.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F5F8F7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ВОПРОС ДЛЯ РАЗМЫШЛЕНИЯ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Запись будущего: какие данные должна собирать ваша клиника? Выберите 5.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Диагнозы с кодами МКБ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Результаты анализов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Назначения и рецепты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Снимки: рентген, КТ, МРТ, УЗИ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Генетические тесты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Данные приборов и носимых устройств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Ответы пациента на анкеты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Социальные условия и место жительства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История госпитализаций и визитов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Правильного ответа нет: каждый выбирает 5 источников данных.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Какие данные открывают какие возможности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Риск повторной госпитализации</w:t>
      </w:r>
      <w:r>
        <w:rPr>
          <w:rFonts w:ascii="Calibri" w:cs="Calibri" w:eastAsia="Calibri" w:hAnsi="Calibri"/>
        </w:rPr>
        <w:t xml:space="preserve"> — нужны: Диагнозы с кодами МКБ; Результаты анализов; История госпитализаций и визитов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Раннее предупреждение об ухудшении</w:t>
      </w:r>
      <w:r>
        <w:rPr>
          <w:rFonts w:ascii="Calibri" w:cs="Calibri" w:eastAsia="Calibri" w:hAnsi="Calibri"/>
        </w:rPr>
        <w:t xml:space="preserve"> — нужны: Результаты анализов; Данные приборов и носимых устройств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Назначение лекарств с учётом генов</w:t>
      </w:r>
      <w:r>
        <w:rPr>
          <w:rFonts w:ascii="Calibri" w:cs="Calibri" w:eastAsia="Calibri" w:hAnsi="Calibri"/>
        </w:rPr>
        <w:t xml:space="preserve"> — нужны: Назначения и рецепты; Генетические тесты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Регистры хронических больных</w:t>
      </w:r>
      <w:r>
        <w:rPr>
          <w:rFonts w:ascii="Calibri" w:cs="Calibri" w:eastAsia="Calibri" w:hAnsi="Calibri"/>
        </w:rPr>
        <w:t xml:space="preserve"> — нужны: Диагнозы с кодами МКБ; История госпитализаций и визитов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Дистанционное наблюдение</w:t>
      </w:r>
      <w:r>
        <w:rPr>
          <w:rFonts w:ascii="Calibri" w:cs="Calibri" w:eastAsia="Calibri" w:hAnsi="Calibri"/>
        </w:rPr>
        <w:t xml:space="preserve"> — нужны: Данные приборов и носимых устройств; Ответы пациента на анкеты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Поиск закономерностей по районам</w:t>
      </w:r>
      <w:r>
        <w:rPr>
          <w:rFonts w:ascii="Calibri" w:cs="Calibri" w:eastAsia="Calibri" w:hAnsi="Calibri"/>
        </w:rPr>
        <w:t xml:space="preserve"> — нужны: Диагнозы с кодами МКБ; Социальные условия и место жительства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Вывод: каждая возможность требует конкретных полей в записи. Пример: регистр хронических больных — это коды диагнозов и даты визитов; из них видно, кто пропустил контрольный визит.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2. Единый язык данных: стандарты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Чтобы системы понимали друг друга, а данные можно было сравнить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Стандарты: пять уровней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Общие термины и коды → формы данных → передача между системами → изображения → защита и электронная подпись.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Без общего словаря сообщение дойдёт, но его никто не поймёт. Руководителю не нужно знать стандарты в деталях; нужно требовать их при закупке любой системы.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Стандарты простыми словами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1720"/>
        <w:gridCol w:w="3958"/>
        <w:gridCol w:w="3960"/>
      </w:tblGrid>
      <w:tr>
        <w:trPr>
          <w:cantSplit/>
          <w:tblHeader/>
        </w:trPr>
        <w:tc>
          <w:tcPr>
            <w:tcW w:type="dxa" w:w="172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Стандарт</w:t>
            </w:r>
          </w:p>
        </w:tc>
        <w:tc>
          <w:tcPr>
            <w:tcW w:type="dxa" w:w="3958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Для чего</w:t>
            </w:r>
          </w:p>
        </w:tc>
        <w:tc>
          <w:tcPr>
            <w:tcW w:type="dxa" w:w="396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Пример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МКБ-10 / МКБ-11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Коды диагнозов ВОЗ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I10 — гипертензия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SNOMED CT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Подробные клинические термины: симптомы, процедуры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Более 360 000 понятий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LOINC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Коды лабораторных анализов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Глюкоза крови — один код во всех лабораториях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ATC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Коды лекарств по действующему веществу (ВОЗ)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Сравнить расход антибиотиков в клиниках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HL7 FHIR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Обмен данными между системами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Анализ из лаборатории сразу в карте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openEHR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Модели записей, не зависящие от поставщика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Врачи сами задают, из чего состоит запись АД</w:t>
            </w:r>
          </w:p>
        </w:tc>
      </w:tr>
      <w:tr>
        <w:trPr>
          <w:cantSplit/>
        </w:trPr>
        <w:tc>
          <w:tcPr>
            <w:tcW w:type="dxa" w:w="17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DICOM / PACS</w:t>
            </w:r>
          </w:p>
        </w:tc>
        <w:tc>
          <w:tcPr>
            <w:tcW w:type="dxa" w:w="39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Формат медицинских изображений и их архив</w:t>
            </w:r>
          </w:p>
        </w:tc>
        <w:tc>
          <w:tcPr>
            <w:tcW w:type="dxa" w:w="396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Снимок КТ открывается в любой совместимой программе</w:t>
            </w:r>
          </w:p>
        </w:tc>
      </w:tr>
    </w:tbl>
    <w:p>
      <w:pPr>
        <w:spacing w:after="120" w:before="100"/>
      </w:pPr>
      <w:r>
        <w:rPr>
          <w:rFonts w:ascii="Calibri" w:cs="Calibri" w:eastAsia="Calibri" w:hAnsi="Calibri"/>
          <w:color w:val="2E4A47"/>
          <w:sz w:val="20"/>
          <w:szCs w:val="20"/>
        </w:rPr>
        <w:t xml:space="preserve">Зрелость больницы оценивают по шкале HIMSS EMRAM: от стадии 0 (бумага) до 7 (полностью цифровая больница).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Практический вывод: в техническом задании на любую систему перечислите эти стандарты. На какой стадии EMRAM, по вашему мнению, находится ваша клиника?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Узбекистан: первые шаги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УЗБЕКИСТАН · 2026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13.01.2026</w:t>
            </w:r>
            <w:r>
              <w:rPr>
                <w:rFonts w:ascii="Calibri" w:cs="Calibri" w:eastAsia="Calibri" w:hAnsi="Calibri"/>
                <w:color w:val="0B1F1E"/>
              </w:rPr>
              <w:t xml:space="preserve">   Узбекистан вступил в SNOMED International (через UZINFOCOM)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SNOMED CT станет клинической терминологией национальной платформы цифрового здравоохранения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Национальная спецификация обмена на HL7 FHIR готовится; пока это проект (draft)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 ней — МКБ-11, SNOMED CT, LOINC и ATC; у МКБ-11 есть официальная версия на узбекском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При закупке любой системы требуйте эти стандарты: на них строится национальный обмен данными.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snomed.org, 2026 · UZINFOCOM, Digital Health IG (draft)  [12, 13]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Вступление в SNOMED International — часть стратегии «Цифровой Узбекистан — 2030». Спецификацию FHIR публикует UZINFOCOM вместе с Минздравом. Это проект, а не утверждённый стандарт.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Какой стандарт предназначен для обмена данными между медицинскими системами?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DICOM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МКБ-10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LOINC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HL7 FHIR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HL7 FHIR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HL7 FHIR — стандарт обмена. DICOM — изображения, МКБ-10 — коды диагнозов, LOINC — коды анализов.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Практический вывод: при закупке системы спрашивайте о поддержке HL7 FHIR.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3. Национальная МИС и Приказ № 3758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Национальная система и обязанности руководителя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Национальная МИС в цифрах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36 млн+</w:t>
      </w:r>
      <w:r>
        <w:rPr>
          <w:rFonts w:ascii="Calibri" w:cs="Calibri" w:eastAsia="Calibri" w:hAnsi="Calibri"/>
        </w:rPr>
        <w:t xml:space="preserve"> — граждан с электронной картой MED-ID (~37 млн — февраль 2026)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20+</w:t>
      </w:r>
      <w:r>
        <w:rPr>
          <w:rFonts w:ascii="Calibri" w:cs="Calibri" w:eastAsia="Calibri" w:hAnsi="Calibri"/>
        </w:rPr>
        <w:t xml:space="preserve"> — модулей в системе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400+</w:t>
      </w:r>
      <w:r>
        <w:rPr>
          <w:rFonts w:ascii="Calibri" w:cs="Calibri" w:eastAsia="Calibri" w:hAnsi="Calibri"/>
        </w:rPr>
        <w:t xml:space="preserve"> — протоколов и стандартов лечения в 40 специальностях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color w:val="0A645C"/>
        </w:rPr>
        <w:t xml:space="preserve">~13 000</w:t>
      </w:r>
      <w:r>
        <w:rPr>
          <w:rFonts w:ascii="Calibri" w:cs="Calibri" w:eastAsia="Calibri" w:hAnsi="Calibri"/>
        </w:rPr>
        <w:t xml:space="preserve"> — лекарств — только по электронному рецепту (Ташкент, с 10.12.2025)</w:t>
      </w:r>
    </w:p>
    <w:p>
      <w:pPr>
        <w:spacing w:after="120" w:before="60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Источники: yuz.uz (ноябрь 2025), zamin.uz (декабрь 2025), Euronews (февраль 2026)  [14, 15, 16]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уже не пилот, а национальная система. Официально заявлено также: избыточных назначений −40%, отменено 70+ видов бумажных документов, административная нагрузка на врачей −30%. Это заявленные цифры, а не независимая оценка. Электронный рецепт по всей стране — с января 2027 года (план).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Национальная МИС: одна карта — много участников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 центре MED-ID: поликлиники, стационары, лаборатории, аптеки и приложение пациента работают с одной картой.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Четыре модуля системы: электронная поликлиника, электронный стационар, электронная медкарта, электронный рецепт. Интеграция с системой DARMON даёт доступ к 3 100+ лекарствам.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Приказ № 3758: что требуется с 20.04.2026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4 модуля: электронные поликлиника, стационар, медкарта, рецепт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Ввод данных — полный, точный и в реальном времени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Доступ — только уполномоченным сотрудникам, по ролям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UZINFOCOM ежегодно проверяет пользователей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Пациент видит свою карту и рецепты в мобильном приложении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Приказ от 19.01.2026, в силе с 20.04.2026. Это не IT-задача: неполные или запоздавшие данные увидит пациент в приложении. Ввод, роли доступа и контроль — зона ответственности руководителя. Модули устанавливаются в течение 15 рабочих дней.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Что требует Приказ № 3758 от медицинских организаций?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Полный, точный ввод данных в реальном времени и доступ только по ролям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Вносить данные в национальную МИС раз в месяц сводным отчётом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Дать доступ к картам всем сотрудникам клиники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Вести бумажную карту параллельно с электронной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Полный, точный ввод данных в реальном времени и доступ только по ролям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Приказ (в силе с 20.04.2026): 4 модуля, полный и точный ввод в реальном времени, доступ по ролям, ежегодный аудит UZINFOCOM.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Требование — режим реального времени.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4. Качество данных — задача руководителя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Плохие данные → неверные показатели → неверные решения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6 измерений качества данных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Полнота</w:t>
      </w:r>
      <w:r>
        <w:rPr>
          <w:rFonts w:ascii="Calibri" w:cs="Calibri" w:eastAsia="Calibri" w:hAnsi="Calibri"/>
        </w:rPr>
        <w:t xml:space="preserve"> — Все обязательные поля заполнены. Пример: при выписке нет кода диагноза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Точность</w:t>
      </w:r>
      <w:r>
        <w:rPr>
          <w:rFonts w:ascii="Calibri" w:cs="Calibri" w:eastAsia="Calibri" w:hAnsi="Calibri"/>
        </w:rPr>
        <w:t xml:space="preserve"> — Данные соответствуют действительности. Пример: вес взрослого 7 кг вместо 70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Своевременность</w:t>
      </w:r>
      <w:r>
        <w:rPr>
          <w:rFonts w:ascii="Calibri" w:cs="Calibri" w:eastAsia="Calibri" w:hAnsi="Calibri"/>
        </w:rPr>
        <w:t xml:space="preserve"> — Запись внесена сразу. Пример: все приёмы за неделю вносят в пятницу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Согласованность</w:t>
      </w:r>
      <w:r>
        <w:rPr>
          <w:rFonts w:ascii="Calibri" w:cs="Calibri" w:eastAsia="Calibri" w:hAnsi="Calibri"/>
        </w:rPr>
        <w:t xml:space="preserve"> — Данные не противоречат друг другу. Пример: в выписке I10, в статталоне I11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Соответствие формату</w:t>
      </w:r>
      <w:r>
        <w:rPr>
          <w:rFonts w:ascii="Calibri" w:cs="Calibri" w:eastAsia="Calibri" w:hAnsi="Calibri"/>
        </w:rPr>
        <w:t xml:space="preserve"> — Допустимый формат и диапазон. Пример: код «I-10» или дата 31.02.2026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Уникальность</w:t>
      </w:r>
      <w:r>
        <w:rPr>
          <w:rFonts w:ascii="Calibri" w:cs="Calibri" w:eastAsia="Calibri" w:hAnsi="Calibri"/>
        </w:rPr>
        <w:t xml:space="preserve"> — Один пациент — одна карта. Пример: две карты из-за ошибки в фамилии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Какая проблема у вас самая частая? Чаще всего называют полноту и своевременность.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Найдите 5 ошибок в выписке из ЭМЗ: нажмите на ячейки с ошибкой.</w:t>
            </w:r>
          </w:p>
          <w:tbl>
            <w:tblPr>
              <w:tblW w:type="dxa" w:w="9038"/>
              <w:tblBorders>
                <w:top w:val="single" w:color="C9D5D3" w:sz="4"/>
                <w:left w:val="single" w:color="C9D5D3" w:sz="4"/>
                <w:bottom w:val="single" w:color="C9D5D3" w:sz="4"/>
                <w:right w:val="single" w:color="C9D5D3" w:sz="4"/>
                <w:insideH w:val="single" w:color="C9D5D3" w:sz="4"/>
                <w:insideV w:val="single" w:color="C9D5D3" w:sz="4"/>
              </w:tblBorders>
              <w:tblLayout w:type="fixed"/>
            </w:tblPr>
            <w:tblGrid>
              <w:gridCol w:w="431"/>
              <w:gridCol w:w="1329"/>
              <w:gridCol w:w="531"/>
              <w:gridCol w:w="930"/>
              <w:gridCol w:w="1628"/>
              <w:gridCol w:w="1628"/>
              <w:gridCol w:w="1329"/>
              <w:gridCol w:w="1232"/>
            </w:tblGrid>
            <w:tr>
              <w:trPr>
                <w:cantSplit/>
                <w:tblHeader/>
              </w:trPr>
              <w:tc>
                <w:tcPr>
                  <w:tcW w:type="dxa" w:w="43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№</w:t>
                  </w:r>
                </w:p>
              </w:tc>
              <w:tc>
                <w:tcPr>
                  <w:tcW w:type="dxa" w:w="1329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MED-ID</w:t>
                  </w:r>
                </w:p>
              </w:tc>
              <w:tc>
                <w:tcPr>
                  <w:tcW w:type="dxa" w:w="531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Пол</w:t>
                  </w:r>
                </w:p>
              </w:tc>
              <w:tc>
                <w:tcPr>
                  <w:tcW w:type="dxa" w:w="930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Возраст</w:t>
                  </w:r>
                </w:p>
              </w:tc>
              <w:tc>
                <w:tcPr>
                  <w:tcW w:type="dxa" w:w="162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Отделение</w:t>
                  </w:r>
                </w:p>
              </w:tc>
              <w:tc>
                <w:tcPr>
                  <w:tcW w:type="dxa" w:w="1628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Диагноз (МКБ-10)</w:t>
                  </w:r>
                </w:p>
              </w:tc>
              <w:tc>
                <w:tcPr>
                  <w:tcW w:type="dxa" w:w="1329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Поступление</w:t>
                  </w:r>
                </w:p>
              </w:tc>
              <w:tc>
                <w:tcPr>
                  <w:tcW w:type="dxa" w:w="1232"/>
                  <w:shd w:fill="CDEFE9" w:color="auto" w:val="clear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B1F1E"/>
                      <w:sz w:val="18"/>
                      <w:szCs w:val="18"/>
                    </w:rPr>
                    <w:t xml:space="preserve">Выписка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MED-4417820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64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Кардиология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I10 Гипертензия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01.09.2026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08.09.2026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MED-3982145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муж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J18.9 Пневмония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02.09.2026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MED-5120376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муж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52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K35.8 Острый аппендицит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02.09.2026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06.09.2026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MED-2764019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59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J20.9 Острый бронхит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03.09.2026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09.09.2026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MED-6031558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муж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38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N94.6 Дисменорея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03.09.2026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07.09.2026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MED-4893307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71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Неврология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I63.9 Инфаркт мозга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04.09.2026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18.09.2026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MED-3315842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муж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66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Кардиология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I21.9 Инфаркт миокарда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05.09.2026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01.09.2026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MED-5547290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49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Эндокринология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—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06.09.2026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MED-2208634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34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Гинекология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N83.2 Киста яичника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07.09.2026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MED-3982145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68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Терапия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E11.9 Диабет 2 типа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08.09.2026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16.09.2026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MED-6702913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муж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57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Хирургия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K80.2 Желчнокаменная болезнь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09.09.2026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15.09.2026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MED-4120587</w:t>
                  </w:r>
                </w:p>
              </w:tc>
              <w:tc>
                <w:tcPr>
                  <w:tcW w:type="dxa" w:w="531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жен</w:t>
                  </w:r>
                </w:p>
              </w:tc>
              <w:tc>
                <w:tcPr>
                  <w:tcW w:type="dxa" w:w="930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Педиатрия</w:t>
                  </w:r>
                </w:p>
              </w:tc>
              <w:tc>
                <w:tcPr>
                  <w:tcW w:type="dxa" w:w="1628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A09 Гастроэнтерит</w:t>
                  </w:r>
                </w:p>
              </w:tc>
              <w:tc>
                <w:tcPr>
                  <w:tcW w:type="dxa" w:w="1329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10.09.2026</w:t>
                  </w:r>
                </w:p>
              </w:tc>
              <w:tc>
                <w:tcPr>
                  <w:tcW w:type="dxa" w:w="1232"/>
                  <w:tcMar>
                    <w:top w:type="dxa" w:w="50"/>
                    <w:left w:type="dxa" w:w="90"/>
                    <w:bottom w:type="dxa" w:w="50"/>
                    <w:right w:type="dxa" w:w="90"/>
                  </w:tcMar>
                  <w:vAlign w:val="center"/>
                </w:tcPr>
                <w:p>
                  <w:pPr>
                    <w:spacing w:after="0" w:line="252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0B1F1E"/>
                      <w:sz w:val="18"/>
                      <w:szCs w:val="18"/>
                    </w:rPr>
                    <w:t xml:space="preserve">13.09.2026</w:t>
                  </w:r>
                </w:p>
              </w:tc>
            </w:tr>
          </w:tbl>
          <w:p>
            <w:pPr>
              <w:pStyle w:val="Small"/>
              <w:spacing w:after="60" w:before="0"/>
            </w:pP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Правильные ячейки: </w:t>
            </w:r>
            <w:r>
              <w:rPr>
                <w:rFonts w:ascii="Calibri" w:cs="Calibri" w:eastAsia="Calibri" w:hAnsi="Calibri"/>
                <w:b/>
                <w:bCs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4, «Возраст»: 59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5, «Диагноз (МКБ-10)»: N94.6 Дисменорея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7, «Выписка»: 01.09.2026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8, «Диагноз (МКБ-10)»: —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строка 10, «MED-ID»: MED-3982145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59 лет в педиатрии; N94.6 у мужчины; выписка раньше поступления; нет кода диагноза; MED-ID повторяется у другого пациента.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Каждая ошибка связана с одним из измерений качества: точность, согласованность, полнота, уникальность.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Кто отвечает и что делает руководитель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Данные вносит врач, но систему качества строит руководитель.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Правила ввода</w:t>
      </w:r>
      <w:r>
        <w:rPr>
          <w:rFonts w:ascii="Calibri" w:cs="Calibri" w:eastAsia="Calibri" w:hAnsi="Calibri"/>
        </w:rPr>
        <w:t xml:space="preserve"> — Обязательные поля, выбор из списка, проверка дат и кодов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Ежедневная проверка</w:t>
      </w:r>
      <w:r>
        <w:rPr>
          <w:rFonts w:ascii="Calibri" w:cs="Calibri" w:eastAsia="Calibri" w:hAnsi="Calibri"/>
        </w:rPr>
        <w:t xml:space="preserve"> — Ответственный в отделении смотрит незакрытые и неполные записи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Показатель качества</w:t>
      </w:r>
      <w:r>
        <w:rPr>
          <w:rFonts w:ascii="Calibri" w:cs="Calibri" w:eastAsia="Calibri" w:hAnsi="Calibri"/>
        </w:rPr>
        <w:t xml:space="preserve"> — Например, доля записей, закрытых в день приёма, по отделениям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Обратная связь</w:t>
      </w:r>
      <w:r>
        <w:rPr>
          <w:rFonts w:ascii="Calibri" w:cs="Calibri" w:eastAsia="Calibri" w:hAnsi="Calibri"/>
        </w:rPr>
        <w:t xml:space="preserve"> — Раз в месяц отделения видят свои результаты — без поиска виноватых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Обучение</w:t>
      </w:r>
      <w:r>
        <w:rPr>
          <w:rFonts w:ascii="Calibri" w:cs="Calibri" w:eastAsia="Calibri" w:hAnsi="Calibri"/>
        </w:rPr>
        <w:t xml:space="preserve"> — Короткие занятия для новых сотрудников и разбор типичных ошибок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замкнутый цикл: обучение улучшает ввод, и всё повторяется. Качество данных — не задача IT-отдела: что не измеряют, то не улучшается.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5. Четыре вида аналитики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Один пример — артериальная гипертензия — на всех уровнях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4 уровня аналитики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Что произошло? → Почему? → Что будет? → Что делать? Чем выше уровень, тем важнее качество данных.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Далее все четыре уровня разобраны на одном примере: пациенты с артериальной гипертензией, состоящие на учёте в поликлинике.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Описательная аналитика: что произошло?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Визиты пациентов с гипертонией за год выросли на 68%: с 410 в январе до 690 в декабре (учебные данные).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Это обычный отчёт: он отвечает на вопрос «сколько», но не «почему». Требование к данным: код диагноза и измеренное давление в полях.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Диагностическая аналитика: почему?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Из 1000 пациентов лечение назначено 820, а на контроль пришли 450: главная потеря — пропущенные визиты.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Детализация: клиника → участок → врач → пациент. Причины видны, только если визиты и рецепты внесены в систему.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Прогностическая аналитика: что будет?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Прогноз госпитализаций с гипертоническим кризом: в январе около 46 (от 41 до 51). Прогноз всегда с диапазоном.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Прогноз не ставит диагноз: он показывает, кому нужно внимание раньше других.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Предписывающая аналитика: что делать?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Высокий риск — приём врача, средний — звонок медсестры, низкий — SMS. Система советует, решает человек.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Система советует — решает человек. Чем выше уровень аналитики, тем выше требования к полноте и качеству данных.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Кто пользуется данными на каждом уровне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Данные вашего врача доходят до министерства. Ошибка внизу искажает решения наверху.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Врач</w:t>
      </w:r>
      <w:r>
        <w:rPr>
          <w:rFonts w:ascii="Calibri" w:cs="Calibri" w:eastAsia="Calibri" w:hAnsi="Calibri"/>
        </w:rPr>
        <w:t xml:space="preserve"> — Мои пациенты: у кого давление не под контролем, кого пригласить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Заведующий отделением</w:t>
      </w:r>
      <w:r>
        <w:rPr>
          <w:rFonts w:ascii="Calibri" w:cs="Calibri" w:eastAsia="Calibri" w:hAnsi="Calibri"/>
        </w:rPr>
        <w:t xml:space="preserve"> — Нагрузка врачей, качество записей, повторные госпитализации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Главный врач</w:t>
      </w:r>
      <w:r>
        <w:rPr>
          <w:rFonts w:ascii="Calibri" w:cs="Calibri" w:eastAsia="Calibri" w:hAnsi="Calibri"/>
        </w:rPr>
        <w:t xml:space="preserve"> — Сравнение отделений, кадры, койки, закупки лекарств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Министерство</w:t>
      </w:r>
      <w:r>
        <w:rPr>
          <w:rFonts w:ascii="Calibri" w:cs="Calibri" w:eastAsia="Calibri" w:hAnsi="Calibri"/>
        </w:rPr>
        <w:t xml:space="preserve"> — Потребность в лекарствах, кадрах и бюджете; оценка программ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Какие решения на уровне области или министерства принимаются по данным вашей клиники? Если данные неполные, ресурсы распределят неверно.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5 показателей прямо из ЭМЗ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2600"/>
        <w:gridCol w:w="3519"/>
        <w:gridCol w:w="3519"/>
      </w:tblGrid>
      <w:tr>
        <w:trPr>
          <w:cantSplit/>
          <w:tblHeader/>
        </w:trPr>
        <w:tc>
          <w:tcPr>
            <w:tcW w:type="dxa" w:w="2600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351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Как считается</w:t>
            </w:r>
          </w:p>
        </w:tc>
        <w:tc>
          <w:tcPr>
            <w:tcW w:type="dxa" w:w="351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Что показывает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Среднее ожидание приёма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Σ (дата приёма − дата записи) ÷ число приёмов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Доступность помощи: где не хватает врачей или неудобное расписание.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Средняя длительность пребывания (ALOS)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Сумма койко-дней ÷ число выписанных пациентов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Использование коек; сравнение отделений при одном диагнозе.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Повторная госпитализация за 30 дней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Поступившие повторно в течение 30 дней ÷ все выписанные × 100%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Качество лечения и выписки, преемственность с поликлиникой.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Доля электронных рецептов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Электронные рецепты ÷ все рецепты × 100%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Готовность к полному переходу на э-рецепт (план — январь 2027).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Записи, закрытые в день приёма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Записи, завершённые в тот же день ÷ все приёмы × 100%</w:t>
            </w:r>
          </w:p>
        </w:tc>
        <w:tc>
          <w:tcPr>
            <w:tcW w:type="dxa" w:w="35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Своевременность данных — требование ввода в реальном времени.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Каждый показатель считается автоматически, если данные внесены правильно. Не нужно ничего считать вручную — нужно требовать эти цифры от системы. Подробнее о панелях управления — в модуле 3.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Прогноз загрузки стационара на следующий месяц — это какой уровень аналитики?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Описательная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Диагностическая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Прогностическая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Предписывающая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Прогностическая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Прогноз отвечает на вопрос «что будет?» — это прогностическая аналитика. «Что делать?» — уже предписывающая.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Какое решение вы бы приняли, зная этот прогноз? Это уже следующий уровень.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Будьте прогностической моделью: отметьте трёх пациентов с наибольшим риском повторной госпитализации за 30 дней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i/>
                <w:iCs/>
                <w:color w:val="2E4A47"/>
              </w:rPr>
              <w:t xml:space="preserve">Учебные данные. Восемь пациентов, выписанных из стационара на этой неделе.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Муж., 74 · сердечная недостаточность · 3 госпитализации за год · живёт один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Жен., 45 · аппендицит, операция · первая госпитализация · живёт с семьёй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Муж., 68 · гипертензия · за год госпитализаций не было · ходит на все визиты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Жен., 81 · ХОБЛ и диабет · 2 госпитализации за год · пропустила 2 визита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E.  </w:t>
            </w:r>
            <w:r>
              <w:rPr>
                <w:rFonts w:ascii="Calibri" w:cs="Calibri" w:eastAsia="Calibri" w:hAnsi="Calibri"/>
              </w:rPr>
              <w:t xml:space="preserve">Муж., 35 · перелом голени · первая госпитализация · работает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F.  </w:t>
            </w:r>
            <w:r>
              <w:rPr>
                <w:rFonts w:ascii="Calibri" w:cs="Calibri" w:eastAsia="Calibri" w:hAnsi="Calibri"/>
              </w:rPr>
              <w:t xml:space="preserve">Жен., 77 · сердечная недостаточность · 2 госпитализации · нет визита после выписки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G.  </w:t>
            </w:r>
            <w:r>
              <w:rPr>
                <w:rFonts w:ascii="Calibri" w:cs="Calibri" w:eastAsia="Calibri" w:hAnsi="Calibri"/>
              </w:rPr>
              <w:t xml:space="preserve">Жен., 52 · диабет 2 типа · госпитализаций не было · сахар под контролем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H.  </w:t>
            </w:r>
            <w:r>
              <w:rPr>
                <w:rFonts w:ascii="Calibri" w:cs="Calibri" w:eastAsia="Calibri" w:hAnsi="Calibri"/>
              </w:rPr>
              <w:t xml:space="preserve">Муж., 70 · катаракта, плановая операция · живёт с семьёй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Правильные ответы: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A, D, F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Учебное правило учитывает: прошлые госпитализации, хронические болезни, одиночество, пропущенные визиты и отсутствие визита после выписки.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Вы использовали 3–4 поля, реальная модель — десятки и сотни. Если эти поля пустые, предсказать не сможет ни человек, ни модель. Данные учебные, правило упрощено.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6. Почему запись должна быть полной и структурированной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Что дают полные закодированные записи — и что бывает без проверки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Миллионы записей → модель → группы риска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762625" cy="2457450"/>
            <wp:effectExtent t="0" r="0" b="0" l="0"/>
            <wp:docPr id="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60"/>
        <w:jc w:val="center"/>
      </w:pPr>
      <w:r>
        <w:rPr>
          <w:rFonts w:ascii="Calibri" w:cs="Calibri" w:eastAsia="Calibri" w:hAnsi="Calibri"/>
          <w:color w:val="6A7F7C"/>
          <w:sz w:val="19"/>
          <w:szCs w:val="19"/>
        </w:rPr>
        <w:t xml:space="preserve">Модель выделяет группы риска из закодированных записей. На 20% людей с наибольшим риском пришлось 94% смертей от COVID-19.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Общая нить всех примеров этой части: данные были закодированы (диагнозы, анализы, лекарства), привязаны к одному номеру пациента и охватывали почти всё население.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OpenSAFELY: кто в группе риска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АНГЛИЯ · 2020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17,3 млн</w:t>
            </w:r>
            <w:r>
              <w:rPr>
                <w:rFonts w:ascii="Calibri" w:cs="Calibri" w:eastAsia="Calibri" w:hAnsi="Calibri"/>
                <w:color w:val="0B1F1E"/>
              </w:rPr>
              <w:t xml:space="preserve">   записей взрослых из карт врачей общей практики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Риск смерти от COVID-19 у людей 80+ в 20 раз выше, чем в 50–59 лет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Другие факторы: мужской пол, диабет с высоким HbA1c, жизнь в бедных районах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Данные не копировали: программа исследователей работала там, где хранятся записи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Полные закодированные записи быстро отвечают на новый вопрос — без нового исследования с нуля.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Nature, 2020 · OpenSAFELY (Williamson et al.)  [19]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Проанализировано 10 926 смертей. Записи оставались в защищённой среде, наружу выходили только сводные цифры: исследования и защита данных совместимы.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QCOVID: калькулятор риска из карт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ВЕЛИКОБРИТАНИЯ · 2020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94%</w:t>
            </w:r>
            <w:r>
              <w:rPr>
                <w:rFonts w:ascii="Calibri" w:cs="Calibri" w:eastAsia="Calibri" w:hAnsi="Calibri"/>
                <w:color w:val="0B1F1E"/>
              </w:rPr>
              <w:t xml:space="preserve">   смертей от COVID-19 — у 20% людей с наибольшим прогнозным риском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Модель построена по записям 6,08 млн взрослых из 1 205 практик врачей общей практики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Её использовали, чтобы определить группы защиты и очерёдность вакцинации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Если риск сосредоточен у пятой части людей, помощь можно направить туда, где она нужнее всего.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BMJ, 2020 · QCOVID (Clift et al.)  [20]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Модель использует обычные поля карты: возраст, диагнозы, анализы, лекарства. Пустое поле — потерянный признак риска.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Clalit: прогноз до появления данных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ИЗРАИЛЬ · 2020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88%</w:t>
            </w:r>
            <w:r>
              <w:rPr>
                <w:rFonts w:ascii="Calibri" w:cs="Calibri" w:eastAsia="Calibri" w:hAnsi="Calibri"/>
                <w:color w:val="0B1F1E"/>
              </w:rPr>
              <w:t xml:space="preserve">   смертей — среди 15% членов, отмеченных моделью как группа риска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Данных о COVID-19 ещё не было: взяли модель риска при респираторных инфекциях и перенастроили её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Пациентам из группы риска заранее предлагали профилактические меры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Отчёт говорит о прошлом. Прогноз позволяет связаться с пациентом до того, как ему станет хуже.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Nature Communications, 2020 · Barda et al.  [21]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Модель удалось быстро перенастроить, потому что у организации были полные записи о прошлых болезнях пациентов. При проверке качество модели было высоким (AUROC 0,94; 1,0 — идеал).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Kaiser Permanente: раннее предупреждение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0F8B7E" w:sz="24"/>
              <w:bottom w:val="none" w:color="FFFFFF" w:sz="0"/>
              <w:right w:val="none" w:color="FFFFFF" w:sz="0"/>
            </w:tcBorders>
            <w:shd w:fill="E7F6F3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  <w:spacing w:val="10"/>
                <w:sz w:val="19"/>
                <w:szCs w:val="19"/>
              </w:rPr>
              <w:t xml:space="preserve">США · 19 БОЛЬНИЦ, 2016–2019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0A645C"/>
                <w:sz w:val="36"/>
                <w:szCs w:val="36"/>
              </w:rPr>
              <w:t xml:space="preserve">~520</w:t>
            </w:r>
            <w:r>
              <w:rPr>
                <w:rFonts w:ascii="Calibri" w:cs="Calibri" w:eastAsia="Calibri" w:hAnsi="Calibri"/>
                <w:color w:val="0B1F1E"/>
              </w:rPr>
              <w:t xml:space="preserve">   смертей в год удалось избежать — оценка авторов исследования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Каждый час система оценивает данные ЭМЗ пациентов стационара — примерно за 12 часов до ухудшения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Сигнал получает обученная медсестра; при необходимости вызывают бригаду быстрого реагирования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30-дневная смертность после сигнала ниже: относительный риск 0,84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Вывод для руководителя: </w:t>
            </w:r>
            <w:r>
              <w:rPr>
                <w:rFonts w:ascii="Calibri" w:cs="Calibri" w:eastAsia="Calibri" w:hAnsi="Calibri"/>
              </w:rPr>
              <w:t xml:space="preserve">Прогноз сам по себе никого не спасает: нужны ответственный человек и порядок действий по сигналу.</w:t>
            </w:r>
          </w:p>
          <w:p>
            <w:pPr>
              <w:spacing w:after="120" w:before="60"/>
            </w:pPr>
            <w:r>
              <w:rPr>
                <w:rFonts w:ascii="Calibri" w:cs="Calibri" w:eastAsia="Calibri" w:hAnsi="Calibri"/>
                <w:color w:val="6A7F7C"/>
                <w:sz w:val="19"/>
                <w:szCs w:val="19"/>
              </w:rPr>
              <w:t xml:space="preserve">Источник: NEJM, 2020 · Advance Alert Monitor (Escobar et al.)  [22]</w:t>
            </w:r>
          </w:p>
        </w:tc>
      </w:tr>
    </w:tbl>
    <w:p>
      <w:pPr>
        <w:pStyle w:val="Small"/>
        <w:spacing w:after="12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Систему встроили в работу — сигнал идёт конкретному человеку, у которого есть порядок действий.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Система Kaiser Permanente связана примерно с 520 предотвращёнными смертями в год. Что сработало, кроме алгоритма?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Новые здания больниц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Медсёстры и бригада, которые действовали по каждому сигналу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Смарт-часы у пациентов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Бумажные контрольные листы в отделениях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Медсёстры и бригада, которые действовали по каждому сигналу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Оценку риска получали обученные медсёстры и запускали порядок действий. Прогноз без ответных действий никого не спасает.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Кто в вашей клинике отвечал бы за такие сигналы?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Одна идея — разный результат: проверяйте на своих пациентах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Epic Sepsis Model · Мичиган, 2021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Поставщик заявлял AUC 0,76–0,83; проверка в больнице — 0,63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Сигналы получали 18% всех пациентов — лишняя нагрузка на врачей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Пропущено 67% случаев сепсиса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TREWS · Johns Hopkins, 2022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590 736 пациентов под наблюдением в 5 больницах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Если врач подтверждал сигнал в течение 3 часов, смертность от сепсиса ниже на 3,3 п.п.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Это снижение смертности на 18,7% в относительном выражении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Одна и та же идея — раннее предупреждение о сепсисе — дала противоположный результат. Не внедряйте готовую модель без проверки на своих пациентах и без порядка действий по сигналу.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7. Опыт других стран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Что сработало и что не сработало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Опыт других стран: уроки для руководителя</w:t>
      </w:r>
    </w:p>
    <w:tbl>
      <w:tblPr>
        <w:tblW w:type="dxa" w:w="9638"/>
        <w:tblBorders>
          <w:top w:val="single" w:color="C9D5D3" w:sz="4"/>
          <w:left w:val="single" w:color="C9D5D3" w:sz="4"/>
          <w:bottom w:val="single" w:color="C9D5D3" w:sz="4"/>
          <w:right w:val="single" w:color="C9D5D3" w:sz="4"/>
          <w:insideH w:val="single" w:color="C9D5D3" w:sz="4"/>
          <w:insideV w:val="single" w:color="C9D5D3" w:sz="4"/>
        </w:tblBorders>
        <w:tblLayout w:type="fixed"/>
      </w:tblPr>
      <w:tblGrid>
        <w:gridCol w:w="1509"/>
        <w:gridCol w:w="4064"/>
        <w:gridCol w:w="4065"/>
      </w:tblGrid>
      <w:tr>
        <w:trPr>
          <w:cantSplit/>
          <w:tblHeader/>
        </w:trPr>
        <w:tc>
          <w:tcPr>
            <w:tcW w:type="dxa" w:w="1509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Страна</w:t>
            </w:r>
          </w:p>
        </w:tc>
        <w:tc>
          <w:tcPr>
            <w:tcW w:type="dxa" w:w="4064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Что сделано</w:t>
            </w:r>
          </w:p>
        </w:tc>
        <w:tc>
          <w:tcPr>
            <w:tcW w:type="dxa" w:w="4065"/>
            <w:shd w:fill="CDEFE9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0B1F1E"/>
                <w:sz w:val="20"/>
                <w:szCs w:val="20"/>
              </w:rPr>
              <w:t xml:space="preserve">Урок для нас</w:t>
            </w:r>
          </w:p>
        </w:tc>
      </w:tr>
      <w:tr>
        <w:trPr>
          <w:cantSplit/>
        </w:trPr>
        <w:tc>
          <w:tcPr>
            <w:tcW w:type="dxa" w:w="15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Эстония</w:t>
            </w:r>
          </w:p>
        </w:tc>
        <w:tc>
          <w:tcPr>
            <w:tcW w:type="dxa" w:w="4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Э-карта с 2008 года, обмен через X-Road, ~99% рецептов электронные</w:t>
            </w:r>
          </w:p>
        </w:tc>
        <w:tc>
          <w:tcPr>
            <w:tcW w:type="dxa" w:w="4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Обмен по единым правилам между всеми учреждениями</w:t>
            </w:r>
          </w:p>
        </w:tc>
      </w:tr>
      <w:tr>
        <w:trPr>
          <w:cantSplit/>
        </w:trPr>
        <w:tc>
          <w:tcPr>
            <w:tcW w:type="dxa" w:w="15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Дания</w:t>
            </w:r>
          </w:p>
        </w:tc>
        <w:tc>
          <w:tcPr>
            <w:tcW w:type="dxa" w:w="4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Портал sundhed.dk с 2003 года; в «Min log» пациент видит, кто открывал его карту</w:t>
            </w:r>
          </w:p>
        </w:tc>
        <w:tc>
          <w:tcPr>
            <w:tcW w:type="dxa" w:w="4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Необоснованный просмотр карты становится заметен</w:t>
            </w:r>
          </w:p>
        </w:tc>
      </w:tr>
      <w:tr>
        <w:trPr>
          <w:cantSplit/>
        </w:trPr>
        <w:tc>
          <w:tcPr>
            <w:tcW w:type="dxa" w:w="15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Финляндия</w:t>
            </w:r>
          </w:p>
        </w:tc>
        <w:tc>
          <w:tcPr>
            <w:tcW w:type="dxa" w:w="4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Национальное хранилище Kanta: 4,6 млрд документов на 6,9 млн человек</w:t>
            </w:r>
          </w:p>
        </w:tc>
        <w:tc>
          <w:tcPr>
            <w:tcW w:type="dxa" w:w="4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Хранилище работает, когда передача данных обязательна для всех</w:t>
            </w:r>
          </w:p>
        </w:tc>
      </w:tr>
      <w:tr>
        <w:trPr>
          <w:cantSplit/>
        </w:trPr>
        <w:tc>
          <w:tcPr>
            <w:tcW w:type="dxa" w:w="15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Сингапур</w:t>
            </w:r>
          </w:p>
        </w:tc>
        <w:tc>
          <w:tcPr>
            <w:tcW w:type="dxa" w:w="4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Нацкарта с 2011 года; частные клиники участвовали добровольно — пробелы</w:t>
            </w:r>
          </w:p>
        </w:tc>
        <w:tc>
          <w:tcPr>
            <w:tcW w:type="dxa" w:w="4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Законопроект делает передачу обязательной (план — 2027). У нас — Приказ № 3758</w:t>
            </w:r>
          </w:p>
        </w:tc>
      </w:tr>
      <w:tr>
        <w:trPr>
          <w:cantSplit/>
        </w:trPr>
        <w:tc>
          <w:tcPr>
            <w:tcW w:type="dxa" w:w="15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Южная Корея</w:t>
            </w:r>
          </w:p>
        </w:tc>
        <w:tc>
          <w:tcPr>
            <w:tcW w:type="dxa" w:w="4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С 2010 года каждый рецепт онлайн проверяется на взаимодействия и дубли</w:t>
            </w:r>
          </w:p>
        </w:tc>
        <w:tc>
          <w:tcPr>
            <w:tcW w:type="dxa" w:w="4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Безопасность проверяется в момент назначения, а не после</w:t>
            </w:r>
          </w:p>
        </w:tc>
      </w:tr>
      <w:tr>
        <w:trPr>
          <w:cantSplit/>
        </w:trPr>
        <w:tc>
          <w:tcPr>
            <w:tcW w:type="dxa" w:w="150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Казахстан</w:t>
            </w:r>
          </w:p>
        </w:tc>
        <w:tc>
          <w:tcPr>
            <w:tcW w:type="dxa" w:w="406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Клиники выбирают свою МИС, государство задаёт стандарты обмена</w:t>
            </w:r>
          </w:p>
        </w:tc>
        <w:tc>
          <w:tcPr>
            <w:tcW w:type="dxa" w:w="40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 w:val="false"/>
                <w:bCs w:val="false"/>
                <w:color w:val="0B1F1E"/>
                <w:sz w:val="20"/>
                <w:szCs w:val="20"/>
              </w:rPr>
              <w:t xml:space="preserve">Единые стандарты важнее одной программы для всех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Дания и Эстония: пациент видит, кто открывал его данные, — это дисциплинирует персонал. В Узбекистане журнал аудита уже есть внутри системы. Сингапур пришёл к обязательной передаче данных законом; у нас это уже сделал Приказ № 3758.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Две неудачи: NPfIT и VA</w:t>
      </w:r>
    </w:p>
    <w:tbl>
      <w:tblPr>
        <w:tblW w:type="dxa" w:w="9638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24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fill="FBE3E1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Что пошло не так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Англия, NPfIT: проект сверху без врачей; £6,4 → £9,8 млрд, закрыт в 2011 году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США, ветеранские госпитали (VA): в 2023 году внедрение ЭМЗ приостановили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VA: 58% пользователей считали, что риск для безопасности пациентов вырос</w:t>
            </w:r>
          </w:p>
        </w:tc>
        <w:tc>
          <w:tcPr>
            <w:tcW w:type="dxa" w:w="4819"/>
            <w:shd w:fill="DDF3E6" w:color="auto" w:val="clear"/>
            <w:tcMar>
              <w:top w:type="dxa" w:w="120"/>
              <w:left w:type="dxa" w:w="160"/>
              <w:bottom w:type="dxa" w:w="10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</w:rPr>
              <w:t xml:space="preserve">Что делать иначе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Вовлекать врачей с первого дня: они знают, как устроена работа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Внедрять поэтапно и измерять пользу на каждом этапе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rFonts w:ascii="Calibri" w:cs="Calibri" w:eastAsia="Calibri" w:hAnsi="Calibri"/>
              </w:rPr>
              <w:t xml:space="preserve">Запуск — не конец работы: при проблемах остановиться, исправить, обучить</w:t>
            </w:r>
          </w:p>
        </w:tc>
      </w:tr>
    </w:tbl>
    <w:p>
      <w:pPr>
        <w:pStyle w:val="Small"/>
        <w:spacing w:after="16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NPfIT запустили в 2002 году и закрыли в 2011-м; в 2013 году парламентский комитет назвал его одним из самых дорогих провалов госконтрактов. VA после исправлений возобновила внедрение в апреле 2026 года.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Часть 8. Внедрение в вашей клинике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Защита данных, работа при сбоях и план главного врача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Конфиденциальность и безопасность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Данные о здоровье — особая категория персональных данных и врачебная тайна (ЗРУ-547).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A645C"/>
        </w:rPr>
        <w:t xml:space="preserve">Данные пациента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Только в МИС</w:t>
      </w:r>
      <w:r>
        <w:rPr>
          <w:rFonts w:ascii="Calibri" w:cs="Calibri" w:eastAsia="Calibri" w:hAnsi="Calibri"/>
        </w:rPr>
        <w:t xml:space="preserve"> — Не в Google Диске, не в мессенджерах и не в публичных ИИ-сервисах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Доступ по ролям</w:t>
      </w:r>
      <w:r>
        <w:rPr>
          <w:rFonts w:ascii="Calibri" w:cs="Calibri" w:eastAsia="Calibri" w:hAnsi="Calibri"/>
        </w:rPr>
        <w:t xml:space="preserve"> — Каждый видит нужное для работы; при увольнении доступ закрывают в тот же день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Журнал аудита</w:t>
      </w:r>
      <w:r>
        <w:rPr>
          <w:rFonts w:ascii="Calibri" w:cs="Calibri" w:eastAsia="Calibri" w:hAnsi="Calibri"/>
        </w:rPr>
        <w:t xml:space="preserve"> — Кто и когда открыл карту; руководитель регулярно его просматривает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Пациент видит свои данные</w:t>
      </w:r>
      <w:r>
        <w:rPr>
          <w:rFonts w:ascii="Calibri" w:cs="Calibri" w:eastAsia="Calibri" w:hAnsi="Calibri"/>
        </w:rPr>
        <w:t xml:space="preserve"> — В мобильном приложении ошибки и лишние записи становятся заметны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Дисциплина персонала</w:t>
      </w:r>
      <w:r>
        <w:rPr>
          <w:rFonts w:ascii="Calibri" w:cs="Calibri" w:eastAsia="Calibri" w:hAnsi="Calibri"/>
        </w:rPr>
        <w:t xml:space="preserve"> — Не передавать пароли и не фотографировать экран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Хранение в стране</w:t>
      </w:r>
      <w:r>
        <w:rPr>
          <w:rFonts w:ascii="Calibri" w:cs="Calibri" w:eastAsia="Calibri" w:hAnsi="Calibri"/>
        </w:rPr>
        <w:t xml:space="preserve"> — С 27.03.2026 биометрические и генетические данные хранятся только в Узбекистане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Закон ЗРУ-1125 (в силе с 27.03.2026): в стране обязательно хранить биометрические, генетические данные и данные абонентов связи; остальное — за рубеж только при условиях закона. Правило курса: данные пациентов — только в МИС. В скольких ваших отделениях пароль записан на листке рядом с монитором?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Врач хочет отправить коллеге результат анализа с ФИО пациента через личный мессенджер. Как правильно?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Можно, если коллега — тоже врач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Можно, если потом удалить сообщение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Можно с устного согласия пациента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Нельзя: коллега смотрит результат в МИС по своему доступу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Нельзя: коллега смотрит результат в МИС по своему доступу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Личный мессенджер — неконтролируемый канал, данные могут храниться за рубежом. Доступ — только через систему, с журналом аудита.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Проблема не только в согласии, но и в канале передачи.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Сбой системы: резервные копии и работа без МИС</w:t>
      </w:r>
    </w:p>
    <w:p>
      <w:pPr>
        <w:spacing w:after="120"/>
      </w:pPr>
      <w:r>
        <w:rPr>
          <w:rFonts w:ascii="Calibri" w:cs="Calibri" w:eastAsia="Calibri" w:hAnsi="Calibri"/>
          <w:color w:val="2E4A47"/>
        </w:rPr>
        <w:t xml:space="preserve">План готовят заранее, а не в день сбоя.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Резервные копии</w:t>
      </w:r>
      <w:r>
        <w:rPr>
          <w:rFonts w:ascii="Calibri" w:cs="Calibri" w:eastAsia="Calibri" w:hAnsi="Calibri"/>
        </w:rPr>
        <w:t xml:space="preserve"> — Для систем клиники: копии по графику и регулярная проверка восстановления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Бумажные формы наготове</w:t>
      </w:r>
      <w:r>
        <w:rPr>
          <w:rFonts w:ascii="Calibri" w:cs="Calibri" w:eastAsia="Calibri" w:hAnsi="Calibri"/>
        </w:rPr>
        <w:t xml:space="preserve"> — Утверждённые формы приёма, назначений и рецептов на случай сбоя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Кто объявляет и кому звонить</w:t>
      </w:r>
      <w:r>
        <w:rPr>
          <w:rFonts w:ascii="Calibri" w:cs="Calibri" w:eastAsia="Calibri" w:hAnsi="Calibri"/>
        </w:rPr>
        <w:t xml:space="preserve"> — Ответственный объявляет режим сбоя и сообщает в службу поддержки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Ввод после восстановления</w:t>
      </w:r>
      <w:r>
        <w:rPr>
          <w:rFonts w:ascii="Calibri" w:cs="Calibri" w:eastAsia="Calibri" w:hAnsi="Calibri"/>
        </w:rPr>
        <w:t xml:space="preserve"> — Всё записанное на бумаге вносят в МИС в установленный срок</w:t>
      </w:r>
    </w:p>
    <w:p>
      <w:pPr>
        <w:pStyle w:val="ListParagraph"/>
        <w:numPr>
          <w:ilvl w:val="0"/>
          <w:numId w:val="4"/>
        </w:numPr>
        <w:spacing w:after="60"/>
      </w:pPr>
      <w:r>
        <w:rPr>
          <w:rFonts w:ascii="Calibri" w:cs="Calibri" w:eastAsia="Calibri" w:hAnsi="Calibri"/>
          <w:b/>
          <w:bCs/>
        </w:rPr>
        <w:t xml:space="preserve">Разбор после сбоя</w:t>
      </w:r>
      <w:r>
        <w:rPr>
          <w:rFonts w:ascii="Calibri" w:cs="Calibri" w:eastAsia="Calibri" w:hAnsi="Calibri"/>
        </w:rPr>
        <w:t xml:space="preserve"> — Что произошло, сколько длилось, что улучшить в плане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Что будет в вашей клинике, если система не работает 4 часа? Есть ли утверждённые бумажные формы и кто отвечает за последующий ввод? Кто отвечает за резервные копии систем самой клиники и когда последний раз проверяли восстановление?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Как внедрить: план главного врача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Назначить ответственного за цифровизацию в каждом отделении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Обучать малыми группами, на реальных случаях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Замерить время на документацию до и после внедрения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Отменить бумажные формы, которые дублируют электронные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Ежемесячно разбирать показатель качества данных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Личный пример: руководитель сам работает с панелями управления</w:t>
      </w: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Сопротивление переменам — это нормально. Врачи принимают систему, когда видят, что она экономит им время, поэтому важно измерить «до» и «после».</w:t>
      </w:r>
    </w:p>
    <w:p>
      <w:pPr>
        <w:pStyle w:val="Heading2"/>
      </w:pPr>
      <w:r>
        <w:rPr>
          <w:rFonts w:ascii="Calibri" w:cs="Calibri" w:eastAsia="Calibri" w:hAnsi="Calibri"/>
        </w:rPr>
        <w:t xml:space="preserve">Главное из модуля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Запись сегодня — это и анализы, снимки, гены, данные устройств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Анализировать можно только структурированные, закодированные данные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Общий язык систем — стандарты: МКБ, SNOMED CT, LOINC, ATC, FHIR, DICOM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Полный ввод в реальном времени и доступ по ролям — задача руководителя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Качество данных измеряют и разбирают каждый месяц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Модель проверяют на своих пациентах; по сигналу действует человек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Данные пациентов — только в МИС; план работы при сбое готов заранее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Итоговый тест</w:t>
      </w:r>
    </w:p>
    <w:p>
      <w:pPr>
        <w:spacing w:after="160"/>
      </w:pPr>
      <w:r>
        <w:rPr>
          <w:rFonts w:ascii="Calibri" w:cs="Calibri" w:eastAsia="Calibri" w:hAnsi="Calibri"/>
          <w:color w:val="2E4A47"/>
          <w:sz w:val="24"/>
          <w:szCs w:val="24"/>
        </w:rPr>
        <w:t xml:space="preserve">5 вопросов для самопроверки. Ответ и пояснение — сразу после каждого вопроса.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Почему генетический тест помогает врачу, только если результат — структурированное поле в ЭМЗ?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Система может сама предупредить врача при назначении лекарства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Так пациент увидит результат в мобильном приложении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Так результат удобнее распечатать для архива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Так меньше места занимает на сервере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Система может сама предупредить врача при назначении лекарства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Подсказка срабатывает, когда назначенный препарат совпадает с генотипом в карте (St. Jude). Скан PDF подсказку не вызовет.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Результаты анализов попадают в карту через 3 дня после готовности. Какое измерение качества нарушено?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Полнота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Уникальность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Своевременность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Точность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C — Своевременность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Данные верны, но опаздывают — это своевременность. Приказ № 3758 требует ввода в реальном времени.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Какой стандарт кодирует лабораторные анализы?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DICOM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ATC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МКБ-11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LOINC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D — LOINC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LOINC — анализы; ATC — лекарства; DICOM — изображения; МКБ — диагнозы.</w:t>
            </w:r>
          </w:p>
        </w:tc>
      </w:tr>
    </w:tbl>
    <w:p>
      <w:pPr>
        <w:pStyle w:val="Small"/>
        <w:spacing w:after="10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Модель сепсиса хорошо выглядела в отчётах поставщика, но в больнице пропустила 67% случаев. Главный вывод?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ИИ в медицине не работает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Любую модель проверяют на своих пациентах до использования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Нужно выбирать самую дорогую систему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Все предупреждения в системе лучше отключить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B — Любую модель проверяют на своих пациентах до использования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Проверка в Мичигане (JAMA Intern Med, 2021): AUC 0,63 вместо заявленных 0,76–0,83. Готовую модель проверяют на своих данных.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Та же идея сработала там, где модель проверили и встроили в работу врачей.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D98E1E" w:sz="24"/>
              <w:bottom w:val="none" w:color="FFFFFF" w:sz="0"/>
              <w:right w:val="none" w:color="FFFFFF" w:sz="0"/>
            </w:tcBorders>
            <w:shd w:fill="FBEFD9" w:color="auto" w:val="clear"/>
            <w:tcMar>
              <w:top w:type="dxa" w:w="160"/>
              <w:left w:type="dxa" w:w="240"/>
              <w:bottom w:type="dxa" w:w="120"/>
              <w:right w:type="dxa" w:w="24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A5F0A"/>
                <w:spacing w:val="10"/>
                <w:sz w:val="19"/>
                <w:szCs w:val="19"/>
              </w:rPr>
              <w:t xml:space="preserve">ПРОВЕРЬТЕ СЕБЯ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sz w:val="23"/>
                <w:szCs w:val="23"/>
              </w:rPr>
              <w:t xml:space="preserve">Почему OpenSAFELY и QCOVID смогли быстро выделить группы риска?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A.  </w:t>
            </w:r>
            <w:r>
              <w:rPr>
                <w:rFonts w:ascii="Calibri" w:cs="Calibri" w:eastAsia="Calibri" w:hAnsi="Calibri"/>
              </w:rPr>
              <w:t xml:space="preserve">Записи почти всего населения были полными и закодированными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B.  </w:t>
            </w:r>
            <w:r>
              <w:rPr>
                <w:rFonts w:ascii="Calibri" w:cs="Calibri" w:eastAsia="Calibri" w:hAnsi="Calibri"/>
              </w:rPr>
              <w:t xml:space="preserve">Врачи вручную заполнили анкеты для исследования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C.  </w:t>
            </w:r>
            <w:r>
              <w:rPr>
                <w:rFonts w:ascii="Calibri" w:cs="Calibri" w:eastAsia="Calibri" w:hAnsi="Calibri"/>
              </w:rPr>
              <w:t xml:space="preserve">Пациенты сами прислали данные со смарт-часов</w:t>
            </w:r>
          </w:p>
          <w:p>
            <w:pPr>
              <w:spacing w:after="50"/>
              <w:ind w:left="340" w:hanging="34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D.  </w:t>
            </w:r>
            <w:r>
              <w:rPr>
                <w:rFonts w:ascii="Calibri" w:cs="Calibri" w:eastAsia="Calibri" w:hAnsi="Calibri"/>
              </w:rPr>
              <w:t xml:space="preserve">Использовали данные одной крупной больницы</w:t>
            </w:r>
          </w:p>
          <w:p>
            <w:pPr>
              <w:spacing w:after="60" w:before="120"/>
            </w:pPr>
            <w:r>
              <w:rPr>
                <w:rFonts w:ascii="Calibri" w:cs="Calibri" w:eastAsia="Calibri" w:hAnsi="Calibri"/>
                <w:b/>
                <w:bCs/>
                <w:color w:val="2E9E5B"/>
              </w:rPr>
              <w:t xml:space="preserve">Ответ: </w:t>
            </w:r>
            <w:r>
              <w:rPr>
                <w:rFonts w:ascii="Calibri" w:cs="Calibri" w:eastAsia="Calibri" w:hAnsi="Calibri"/>
                <w:b/>
                <w:bCs/>
              </w:rPr>
              <w:t xml:space="preserve">A — Записи почти всего населения были полными и закодированными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A645C"/>
              </w:rPr>
              <w:t xml:space="preserve">Пояснение: </w:t>
            </w:r>
            <w:r>
              <w:rPr>
                <w:rFonts w:ascii="Calibri" w:cs="Calibri" w:eastAsia="Calibri" w:hAnsi="Calibri"/>
              </w:rPr>
              <w:t xml:space="preserve">Модели использовали обычные закодированные поля: возраст, диагнозы, анализы. Пустое поле — потерянный признак риска.</w:t>
            </w:r>
          </w:p>
        </w:tc>
      </w:tr>
    </w:tbl>
    <w:p>
      <w:pPr>
        <w:pStyle w:val="Small"/>
        <w:spacing w:after="100" w:before="0"/>
      </w:pPr>
    </w:p>
    <w:p>
      <w:pPr>
        <w:spacing w:after="160" w:before="80"/>
      </w:pPr>
      <w:r>
        <w:rPr>
          <w:rFonts w:ascii="Calibri" w:cs="Calibri" w:eastAsia="Calibri" w:hAnsi="Calibri"/>
          <w:b/>
          <w:bCs/>
          <w:color w:val="0A645C"/>
        </w:rPr>
        <w:t xml:space="preserve">Подробнее. </w:t>
      </w:r>
      <w:r>
        <w:rPr>
          <w:rFonts w:ascii="Calibri" w:cs="Calibri" w:eastAsia="Calibri" w:hAnsi="Calibri"/>
          <w:color w:val="2E4A47"/>
        </w:rPr>
        <w:t xml:space="preserve">Главная мысль модуля: полная и структурированная запись.</w:t>
      </w:r>
    </w:p>
    <w:p>
      <w:pPr>
        <w:pStyle w:val="Heading1"/>
        <w:pageBreakBefore/>
      </w:pPr>
      <w:r>
        <w:rPr>
          <w:rFonts w:ascii="Calibri" w:cs="Calibri" w:eastAsia="Calibri" w:hAnsi="Calibri"/>
        </w:rPr>
        <w:t xml:space="preserve">Источники</w:t>
      </w:r>
    </w:p>
    <w:p>
      <w:pPr>
        <w:spacing w:after="160"/>
      </w:pPr>
      <w:r>
        <w:rPr>
          <w:rFonts w:ascii="Calibri" w:cs="Calibri" w:eastAsia="Calibri" w:hAnsi="Calibri"/>
          <w:color w:val="2E4A47"/>
        </w:rPr>
        <w:t xml:space="preserve">Публикации и документы, на которые опираются цифры и примеры модуля. Ссылки проверены 2 октября 2026 года.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Hoffman et al. (St. Jude PG4KDS), American Journal of Medical Genetics C, 2014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https://pubmed.ncbi.nlm.nih.gov/24619595/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St. Jude pharmacogenetic alerts in the EHR, JAMIA, 2014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https://academic.oup.com/jamia/article/21/e1/e93/2909254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FDA boxed warning for clopidogrel (CYP2C19), 2010 — JACC review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https://www.jacc.org/doi/10.1016/j.jacc.2010.05.013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Perez et al., Apple Heart Study, New England Journal of Medicine, 2019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https://www.nejm.org/doi/full/10.1056/NEJMoa1901183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WHO, International Classification of Diseases (ICD-10, ICD-11)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https://www.who.int/standards/classifications/classification-of-diseases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SNOMED International, What is SNOMED CT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https://www.snomed.org/what-is-snomed-ct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LOINC, Release notes 2.78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https://loinc.org/kb/release-notes-archive/2.78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WHO Collaborating Centre for Drug Statistics Methodology, Purpose of the ATC/DDD system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https://atcddd.fhi.no/atc_ddd_methodology/purpose_of_the_atc_ddd_system/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openEHR Foundation, What is openEHR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https://www.openehr.org/about/what_is_openehr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DICOM Standards Committee, About DICOM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https://www.dicomstandard.org/about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HIMSS, Electronic Medical Record Adoption Model (EMRAM)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https://www.himss.org/maturity-models/emram/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SNOMED International, Uzbekistan accelerates its digital health transformation with the adoption of SNOMED CT,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https://www.snomed.org/news/uzbekistan-accelerates-its-digital-health-transformation-with-the-adoption-of-snomed-ct ; https://www.snomed.org/members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UZINFOCOM and Ministry of Health, Uzbekistan Digital Health Platform FHIR Implementation Guide (draft),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https://github.com/uzinfocom-org/digital-health-ig ; https://build.fhir.org/ig/uzinfocom-org/digital-health-ig/en/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yuz.uz, national medical information system figures, 13 November 2025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zamin.uz, electronic prescriptions in Tashkent, December 2025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Euronews, digital healthcare in Uzbekistan, 17 February 2026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Ministry of Health of Uzbekistan, Order No. 3758 of 19.01.2026 (norma.uz)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Law ZRU-547 «On personal data», Art. 27¹ as amended by ZRU-1125 of 26.03.2026 (lex.uz); gazeta.uz,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https://lex.uz/docs/8104580 ; https://www.gazeta.uz/ru/2026/03/27/personal-data/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Williamson et al., OpenSAFELY, Nature,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https://www.nature.com/articles/s41586-020-2521-4 ; https://pmc.ncbi.nlm.nih.gov/articles/PMC7611074/ ; https://www.opensafely.org/about/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Clift et al., QCOVID, BMJ, 2020;371:m3731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https://pubmed.ncbi.nlm.nih.gov/33082154/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Barda et al., COVID-19 mortality risk model (Clalit), Nature Communications,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https://www.nature.com/articles/s41467-020-18297-9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Escobar et al., Advance Alert Monitor (Kaiser Permanente), New England Journal of Medicine, 2020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https://www.nejm.org/doi/full/10.1056/NEJMsa2001090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Adams et al., TREWS (Johns Hopkins), Nature Medicine, 2022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https://www.nature.com/articles/s41591-022-01894-0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Wong et al., External validation of the Epic Sepsis Model, JAMA Internal Medicine, 2021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https://doi.org/10.1001/jamainternmed.2021.2626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sundhed.dk, Min log (Denmark)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https://www.sundhed.dk/borger/min-side/min-log/ ; https://lifeindenmark.borger.dk/healthcare/the-danish-healthcare-system/healthcare-data--medical-and-dental-records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Kanta services statistics (Finland)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https://tietotarjotin.fi/en/statistic/957560/statistics-on-the-kanta-services ; https://www.kanta.fi/en/data-in-kanta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Ministry of Health Singapore, Health Information Bill, 2025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https://www.moh.gov.sg/newsroom/health-information-bill-to-support-coordinated-care-across-singapore-s-healthcare-ecosystem/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HIRA nationwide Drug Utilization Review (South Korea), Healthcare Informatics Research, 2016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https://e-hir.org/journal/view.php?id=10.4258%2Fhir.2016.22.3.178 ; https://pubmed.ncbi.nlm.nih.gov/30145461/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Government of Kazakhstan, digitalization in healthcare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https://primeminister.kz/en/news/reviews/innovative-technologies-electronic-documentation-and-cost-reduction-on-development-of-digitalization-in-healthcare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UK Parliament, Public Accounts Committee, NPfIT report, 2013; Computer Weekly, 2013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https://committees.parliament.uk/committee/127/public-accounts-committee/news/181704/npfit-report/ ; https://www.computerweekly.com/news/2240205626/MPs-brand-NHS-National-Programme-for-IT-a-fiasco-as-posthumous-costs-rise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Calibri" w:cs="Calibri" w:eastAsia="Calibri" w:hAnsi="Calibri"/>
        </w:rPr>
        <w:t xml:space="preserve">U.S. Department of Veterans Affairs, EHR Michigan deployments, 2026; Federal News Network, 2026</w:t>
      </w:r>
      <w:r>
        <w:rPr>
          <w:rFonts w:ascii="Calibri" w:cs="Calibri" w:eastAsia="Calibri" w:hAnsi="Calibri"/>
        </w:rPr>
        <w:t xml:space="preserve"> — </w:t>
      </w:r>
      <w:r>
        <w:rPr>
          <w:rFonts w:ascii="Calibri" w:cs="Calibri" w:eastAsia="Calibri" w:hAnsi="Calibri"/>
          <w:color w:val="0A645C"/>
          <w:sz w:val="19"/>
          <w:szCs w:val="19"/>
        </w:rPr>
        <w:t xml:space="preserve">https://news.va.gov/press-room/va-health-record-system-back-on-track-with-michigan-deployments/ ; https://federalnewsnetwork.com/it-modernization/2026/04/va-ehr-rollout-resumes-after-three-year-pause/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A7F7C"/>
        <w:sz w:val="17"/>
        <w:szCs w:val="17"/>
      </w:rPr>
      <w:t xml:space="preserve">WIUT · 2026   ·   </w:t>
    </w:r>
    <w:r>
      <w:rPr>
        <w:rFonts w:ascii="Calibri" w:cs="Calibri" w:eastAsia="Calibri" w:hAnsi="Calibri"/>
        <w:color w:val="6A7F7C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6E4" w:sz="4" w:space="4"/>
      </w:pBdr>
      <w:jc w:val="right"/>
    </w:pPr>
    <w:r>
      <w:rPr>
        <w:rFonts w:ascii="Calibri" w:cs="Calibri" w:eastAsia="Calibri" w:hAnsi="Calibri"/>
        <w:color w:val="6A7F7C"/>
        <w:sz w:val="17"/>
        <w:szCs w:val="17"/>
      </w:rPr>
      <w:t xml:space="preserve">Модуль 1 · Электронные медицинские записи и анализ данных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54" w:hanging="284"/>
      </w:pPr>
      <w:rPr>
        <w:color w:val="0F8B7E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340"/>
      </w:pPr>
      <w:rPr>
        <w:b/>
        <w:bCs/>
        <w:color w:val="0A645C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F1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240" w:line="264"/>
      <w:outlineLvl w:val="0"/>
    </w:pPr>
    <w:rPr>
      <w:rFonts w:ascii="Calibri" w:cs="Calibri" w:eastAsia="Calibri" w:hAnsi="Calibri"/>
      <w:b/>
      <w:bCs/>
      <w:color w:val="0F8B7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320" w:line="264"/>
      <w:outlineLvl w:val="1"/>
    </w:pPr>
    <w:rPr>
      <w:rFonts w:ascii="Calibri" w:cs="Calibri" w:eastAsia="Calibri" w:hAnsi="Calibri"/>
      <w:b/>
      <w:bCs/>
      <w:color w:val="0F8B7E"/>
      <w:sz w:val="28"/>
      <w:szCs w:val="28"/>
    </w:rPr>
  </w:style>
  <w:style w:type="paragraph" w:styleId="Small">
    <w:name w:val="Small"/>
    <w:basedOn w:val="Normal"/>
    <w:pPr>
      <w:spacing w:after="0" w:line="240"/>
    </w:pPr>
    <w:rPr>
      <w:sz w:val="8"/>
      <w:szCs w:val="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ef753c7e5933312578799084a97675b820d12708.png"/><Relationship Id="rId12" Type="http://schemas.openxmlformats.org/officeDocument/2006/relationships/image" Target="media/38fb2efbfdc8e98b00a5d3d4b1efbbbcaea3e62f.png"/><Relationship Id="rId13" Type="http://schemas.openxmlformats.org/officeDocument/2006/relationships/image" Target="media/24f85ce8ddae29cfe864d2d390ab10dc99db5f82.png"/><Relationship Id="rId14" Type="http://schemas.openxmlformats.org/officeDocument/2006/relationships/image" Target="media/e1c70e621507bc753218fc6993ee2b64c4443e6a.png"/><Relationship Id="rId15" Type="http://schemas.openxmlformats.org/officeDocument/2006/relationships/image" Target="media/89617d54524fece407ff979413d39af78726ab61.png"/><Relationship Id="rId16" Type="http://schemas.openxmlformats.org/officeDocument/2006/relationships/image" Target="media/b25a47d715ac61d4db94cda6608d63ccf1c28cd9.png"/><Relationship Id="rId17" Type="http://schemas.openxmlformats.org/officeDocument/2006/relationships/image" Target="media/487595cbf90d8cff4cfa4f7df8a33c72ab4d8826.png"/><Relationship Id="rId18" Type="http://schemas.openxmlformats.org/officeDocument/2006/relationships/image" Target="media/8f283b336c1bd8fb375813e3ee4d4ae7c5851030.png"/><Relationship Id="rId19" Type="http://schemas.openxmlformats.org/officeDocument/2006/relationships/image" Target="media/9177963b115d5e87586ae18e6d53c9fad8a4ae06.png"/><Relationship Id="rId20" Type="http://schemas.openxmlformats.org/officeDocument/2006/relationships/image" Target="media/43480ab13c0b5369f2ef34cb0afcd5307589440f.png"/><Relationship Id="rId21" Type="http://schemas.openxmlformats.org/officeDocument/2006/relationships/image" Target="media/ed9983b7f978b29a8e75ee57c58cd9b1481048a4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1. Электронные медицинские записи и анализ данных — Конспект для слушателей</dc:title>
  <dc:creator>Шохрух Султанов</dc:creator>
  <dc:description>От записи о пациенте — к управленческому решению</dc:description>
  <cp:lastModifiedBy>Un-named</cp:lastModifiedBy>
  <cp:revision>1</cp:revision>
  <dcterms:created xsi:type="dcterms:W3CDTF">2026-10-02T11:06:31.972Z</dcterms:created>
  <dcterms:modified xsi:type="dcterms:W3CDTF">2026-10-02T11:06:31.978Z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