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  <w:r>
        <w:drawing>
          <wp:inline distT="0" distB="0" distL="0" distR="0">
            <wp:extent cx="1352550" cy="790575"/>
            <wp:effectExtent t="0" r="0" b="0" l="0"/>
            <wp:docPr id="4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F8B7E"/>
          <w:sz w:val="28"/>
          <w:szCs w:val="28"/>
        </w:rPr>
        <w:t xml:space="preserve">Информационная система в Здравоохранении</w:t>
      </w:r>
    </w:p>
    <w:p>
      <w:pPr>
        <w:spacing w:after="90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Курс для руководителей клиник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A645C"/>
          <w:spacing w:val="20"/>
          <w:sz w:val="26"/>
          <w:szCs w:val="26"/>
        </w:rPr>
        <w:t xml:space="preserve">МОДУЛЬ 3</w:t>
      </w:r>
    </w:p>
    <w:p>
      <w:pPr>
        <w:spacing w:after="200" w:line="264"/>
      </w:pPr>
      <w:r>
        <w:rPr>
          <w:rFonts w:ascii="Calibri" w:cs="Calibri" w:eastAsia="Calibri" w:hAnsi="Calibri"/>
          <w:b/>
          <w:bCs/>
          <w:color w:val="0B1F1E"/>
          <w:sz w:val="48"/>
          <w:szCs w:val="48"/>
        </w:rPr>
        <w:t xml:space="preserve">Визуальный анализ и панели управления</w:t>
      </w:r>
    </w:p>
    <w:p>
      <w:pPr>
        <w:spacing w:after="600"/>
      </w:pPr>
      <w:r>
        <w:rPr>
          <w:rFonts w:ascii="Calibri" w:cs="Calibri" w:eastAsia="Calibri" w:hAnsi="Calibri"/>
          <w:color w:val="2E4A47"/>
          <w:sz w:val="28"/>
          <w:szCs w:val="28"/>
        </w:rPr>
        <w:t xml:space="preserve">От цифр к решению за 5 секунд</w:t>
      </w:r>
    </w:p>
    <w:p>
      <w:pPr>
        <w:pBdr>
          <w:top w:val="single" w:color="0F8B7E" w:sz="12" w:space="8"/>
        </w:pBdr>
        <w:spacing w:after="2200"/>
      </w:pPr>
      <w:r>
        <w:rPr>
          <w:rFonts w:ascii="Calibri" w:cs="Calibri" w:eastAsia="Calibri" w:hAnsi="Calibri"/>
          <w:b/>
          <w:bCs/>
          <w:color w:val="0F8B7E"/>
          <w:sz w:val="26"/>
          <w:szCs w:val="26"/>
        </w:rPr>
        <w:t xml:space="preserve">Конспект для слушателей</w:t>
      </w:r>
    </w:p>
    <w:p>
      <w:pPr>
        <w:spacing w:after="60"/>
      </w:pPr>
      <w:r>
        <w:rPr>
          <w:rFonts w:ascii="Calibri" w:cs="Calibri" w:eastAsia="Calibri" w:hAnsi="Calibri"/>
          <w:color w:val="6A7F7C"/>
        </w:rPr>
        <w:t xml:space="preserve">Лектор: </w:t>
      </w:r>
      <w:r>
        <w:rPr>
          <w:rFonts w:ascii="Calibri" w:cs="Calibri" w:eastAsia="Calibri" w:hAnsi="Calibri"/>
          <w:b/>
          <w:bCs/>
        </w:rPr>
        <w:t xml:space="preserve">Шохрух Султанов</w:t>
      </w:r>
    </w:p>
    <w:p>
      <w:r>
        <w:rPr>
          <w:rFonts w:ascii="Calibri" w:cs="Calibri" w:eastAsia="Calibri" w:hAnsi="Calibri"/>
          <w:color w:val="6A7F7C"/>
        </w:rPr>
        <w:t xml:space="preserve">Westminster International University in Tashkent · 2026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Цели модуля</w:t>
      </w:r>
    </w:p>
    <w:p>
      <w:pPr>
        <w:spacing w:after="80"/>
      </w:pPr>
      <w:r>
        <w:rPr>
          <w:rFonts w:ascii="Calibri" w:cs="Calibri" w:eastAsia="Calibri" w:hAnsi="Calibri"/>
        </w:rPr>
        <w:t xml:space="preserve">После модуля вы сможете: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Понимать, почему график читается быстрее таблицы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 примеры, когда рисунок с данными изменил решение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Замечать искажения: обрезанную ось, ложную причину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Понимать, как устроена панель управления (дашборд)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Знать, где делать панель и где хранить её данные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Ставить сотрудникам задачу на создание панели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Содержание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1. Почему глаз быстрее таблицы</w:t>
      </w:r>
      <w:r>
        <w:rPr>
          <w:rFonts w:ascii="Calibri" w:cs="Calibri" w:eastAsia="Calibri" w:hAnsi="Calibri"/>
          <w:color w:val="2E4A47"/>
        </w:rPr>
        <w:t xml:space="preserve"> — Что мозг замечает мгновенно и что сравнивает точнее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2. Картинки, которые изменили решения</w:t>
      </w:r>
      <w:r>
        <w:rPr>
          <w:rFonts w:ascii="Calibri" w:cs="Calibri" w:eastAsia="Calibri" w:hAnsi="Calibri"/>
          <w:color w:val="2E4A47"/>
        </w:rPr>
        <w:t xml:space="preserve"> — Три исторических примера и один эксперимент со средними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3. Аналитика в здравоохранении сегодня</w:t>
      </w:r>
      <w:r>
        <w:rPr>
          <w:rFonts w:ascii="Calibri" w:cs="Calibri" w:eastAsia="Calibri" w:hAnsi="Calibri"/>
          <w:color w:val="2E4A47"/>
        </w:rPr>
        <w:t xml:space="preserve"> — Панели, которые помогли — и которые не помогли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4. Лаборатория критического чтения</w:t>
      </w:r>
      <w:r>
        <w:rPr>
          <w:rFonts w:ascii="Calibri" w:cs="Calibri" w:eastAsia="Calibri" w:hAnsi="Calibri"/>
          <w:color w:val="2E4A47"/>
        </w:rPr>
        <w:t xml:space="preserve"> — Обрезанная ось, ложная причина и парадокс средних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5. Как устроена панель управления и где её сделать</w:t>
      </w:r>
      <w:r>
        <w:rPr>
          <w:rFonts w:ascii="Calibri" w:cs="Calibri" w:eastAsia="Calibri" w:hAnsi="Calibri"/>
          <w:color w:val="2E4A47"/>
        </w:rPr>
        <w:t xml:space="preserve"> — Источники данных, программы и место хранения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6. Панель для главного врача</w:t>
      </w:r>
      <w:r>
        <w:rPr>
          <w:rFonts w:ascii="Calibri" w:cs="Calibri" w:eastAsia="Calibri" w:hAnsi="Calibri"/>
          <w:color w:val="2E4A47"/>
        </w:rPr>
        <w:t xml:space="preserve"> — Упражнение: какие показатели вынести на главный экран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Итоговый тест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Источники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 лекторе</w:t>
      </w:r>
    </w:p>
    <w:p>
      <w:r>
        <w:rPr>
          <w:rFonts w:ascii="Calibri" w:cs="Calibri" w:eastAsia="Calibri" w:hAnsi="Calibri"/>
        </w:rPr>
        <w:t xml:space="preserve">Шохрух Султанов — исследователь искусственного интеллекта и разработчик в области медицинской информатики. Преподаватель Westminster International University in Tashkent (WIUT). Разрабатывает ИИ для клиник: MedScribe, Retina Uz. Исследования: ИИ для анализа медицинских изображений. Telegram: @sultanovshoh.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Задание 1 · Ожидание планового приёма (дни). В каком отделении оно росло каждый месяц?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2098"/>
              <w:gridCol w:w="1156"/>
              <w:gridCol w:w="1156"/>
              <w:gridCol w:w="1156"/>
              <w:gridCol w:w="1156"/>
              <w:gridCol w:w="1156"/>
              <w:gridCol w:w="1160"/>
            </w:tblGrid>
            <w:tr>
              <w:trPr>
                <w:cantSplit/>
                <w:tblHeader/>
              </w:trPr>
              <w:tc>
                <w:tcPr>
                  <w:tcW w:type="dxa" w:w="209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Отделение</w:t>
                  </w:r>
                </w:p>
              </w:tc>
              <w:tc>
                <w:tcPr>
                  <w:tcW w:type="dxa" w:w="115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Апр</w:t>
                  </w:r>
                </w:p>
              </w:tc>
              <w:tc>
                <w:tcPr>
                  <w:tcW w:type="dxa" w:w="115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Май</w:t>
                  </w:r>
                </w:p>
              </w:tc>
              <w:tc>
                <w:tcPr>
                  <w:tcW w:type="dxa" w:w="115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Июн</w:t>
                  </w:r>
                </w:p>
              </w:tc>
              <w:tc>
                <w:tcPr>
                  <w:tcW w:type="dxa" w:w="115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Июл</w:t>
                  </w:r>
                </w:p>
              </w:tc>
              <w:tc>
                <w:tcPr>
                  <w:tcW w:type="dxa" w:w="115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Авг</w:t>
                  </w:r>
                </w:p>
              </w:tc>
              <w:tc>
                <w:tcPr>
                  <w:tcW w:type="dxa" w:w="116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Сен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Терапия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3,2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3,5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3,1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3,6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3,4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Хирургия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4,1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4,4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4,6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4,3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4,8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5,0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Кардиология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5,6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5,2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5,9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6,1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5,8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6,3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Неврология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2,1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2,4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2,7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3,0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3,4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Педиатрия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1,8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1,6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1,9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1,7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2,0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1,8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9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Гинекология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2,9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3,1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3,3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3,2</w:t>
                  </w:r>
                </w:p>
              </w:tc>
              <w:tc>
                <w:tcPr>
                  <w:tcW w:type="dxa" w:w="115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3,5</w:t>
                  </w:r>
                </w:p>
              </w:tc>
              <w:tc>
                <w:tcPr>
                  <w:tcW w:type="dxa" w:w="11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3,7</w:t>
                  </w:r>
                </w:p>
              </w:tc>
            </w:tr>
          </w:tbl>
          <w:p>
            <w:pPr>
              <w:pStyle w:val="Small"/>
              <w:spacing w:after="80" w:before="0"/>
            </w:pP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Хирургия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Гинекология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Кардиология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Неврология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Неврология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Неврология: 2,1 → 2,4 → 2,7 → 3,0 → 3,4 → 3,9. У хирургии и гинекологии в июле был спад — в таблице его легко пропустить.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Задание 2 · Ожидание планового приёма (дни), другие данные. В каком отделении оно росло каждый месяц?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4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Кардиология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Неврология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Терапия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Хирургия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Кардиология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Кардиология: линия идёт вверх каждый месяц (2,0 → 5,6 дня). Снова 36 чисел — но на графике ответ виден сразу.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Те же условия: 36 чисел, 40 секунд, но теперь это линейный график.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Вывод. </w:t>
      </w:r>
      <w:r>
        <w:rPr>
          <w:rFonts w:ascii="Calibri" w:cs="Calibri" w:eastAsia="Calibri" w:hAnsi="Calibri"/>
          <w:color w:val="2E4A47"/>
        </w:rPr>
        <w:t xml:space="preserve">Чисел столько же, но график отвечает на вопрос за секунды. В этом смысл панели управления (дашборда) — не внешний вид, а скорость принятия решения.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1. Почему глаз быстрее таблицы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Что мозг замечает мгновенно и что сравнивает точнее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Цель — понять, какие графики требовать от сотрудников и почему.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Эксперимент 1 · В какой части экрана красная точка?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4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Вверху слева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Вверху справа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Внизу слева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Внизу справа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Внизу слева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Внизу слева. Красную точку среди серых мозг находит ещё до того, как вы начали искать.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Эксперимент 1 · Где цифра 7?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4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Вверху слева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Вверху справа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Внизу слева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Внизу справа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Вверху справа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Вверху справа. Но цифры приходится читать одну за другой — поэтому поиск занимает секунды, а не мгновение.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Тот же вопрос, но теперь нужно найти одну цифру 7 среди 60 цифр.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Вывод. </w:t>
      </w:r>
      <w:r>
        <w:rPr>
          <w:rFonts w:ascii="Calibri" w:cs="Calibri" w:eastAsia="Calibri" w:hAnsi="Calibri"/>
          <w:color w:val="2E4A47"/>
        </w:rPr>
        <w:t xml:space="preserve">Цвет мозг замечает автоматически, цифры приходится читать. Вывод для панели управления: выделяйте цветом только то, что требует внимания — например, красным одно отклонение. Если раскрасить всё, глаз не найдёт главное.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Что глаз замечает мгновенно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Эти признаки мозг замечает быстрее 0,25 секунды — ещё до того, как начинает читать.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Цвет</w:t>
      </w:r>
      <w:r>
        <w:rPr>
          <w:rFonts w:ascii="Calibri" w:cs="Calibri" w:eastAsia="Calibri" w:hAnsi="Calibri"/>
        </w:rPr>
        <w:t xml:space="preserve"> — Одна красная отметка среди серых — сигнал «здесь проблема»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Положение</w:t>
      </w:r>
      <w:r>
        <w:rPr>
          <w:rFonts w:ascii="Calibri" w:cs="Calibri" w:eastAsia="Calibri" w:hAnsi="Calibri"/>
        </w:rPr>
        <w:t xml:space="preserve"> — Точка выше или ниже остальных — сразу видно отклонение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Размер</w:t>
      </w:r>
      <w:r>
        <w:rPr>
          <w:rFonts w:ascii="Calibri" w:cs="Calibri" w:eastAsia="Calibri" w:hAnsi="Calibri"/>
        </w:rPr>
        <w:t xml:space="preserve"> — Крупный элемент притягивает взгляд первым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Длина</w:t>
      </w:r>
      <w:r>
        <w:rPr>
          <w:rFonts w:ascii="Calibri" w:cs="Calibri" w:eastAsia="Calibri" w:hAnsi="Calibri"/>
        </w:rPr>
        <w:t xml:space="preserve"> — Самый длинный столбец находится без чтения чисел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Форма</w:t>
      </w:r>
      <w:r>
        <w:rPr>
          <w:rFonts w:ascii="Calibri" w:cs="Calibri" w:eastAsia="Calibri" w:hAnsi="Calibri"/>
        </w:rPr>
        <w:t xml:space="preserve"> — Один флажок или треугольник среди кругов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 данным исследований восприятия, такие признаки обрабатываются быстрее 200–250 миллисекунд — быстрее одного движения глаз. Главная мысль: панель управления использует эти признаки для одного-двух сигналов, а не для украшения.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Эксперимент 2 · Доля госпитализаций (учебные данные): какое отделение самое большое?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4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Кардиология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Педиатрия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Терапия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Неврология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Кардиология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Кардиология — 22%. Но педиатрия — 21%, терапия — 20%: углы секторов почти одинаковы, и глаз их плохо сравнивает.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Доли пяти отделений в числе госпитализаций, учебные данные. Числа на диаграмме специально не подписаны: нужно ответить по рисунку.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Эксперимент 2 · Другие учебные данные: какое отделение самое большое?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5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Терапия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Неврология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Кардиология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Хирургия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Неврология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Неврология — 22%. Столбцы стоят на одной линии и отсортированы: самый высокий виден сразу, даже при разнице в 1%.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Те же пять долей, но отделения поменялись местами, и это отсортированные столбцы. Чисел снова нет.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Вывод. </w:t>
      </w:r>
      <w:r>
        <w:rPr>
          <w:rFonts w:ascii="Calibri" w:cs="Calibri" w:eastAsia="Calibri" w:hAnsi="Calibri"/>
          <w:color w:val="2E4A47"/>
        </w:rPr>
        <w:t xml:space="preserve">Обычно со столбцами правильных ответов больше и они быстрее. Вывод: для сравнения отделений требуйте отсортированные столбцы; круговая диаграмма годится только для 2–3 частей.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Что глаз сравнивает точнее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Внизу — самое точное сравнение, вверху — самое грубое (Cleveland и McGill, 1984).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Положение на общей шкале</w:t>
      </w:r>
      <w:r>
        <w:rPr>
          <w:rFonts w:ascii="Calibri" w:cs="Calibri" w:eastAsia="Calibri" w:hAnsi="Calibri"/>
        </w:rPr>
        <w:t xml:space="preserve"> — Точки и столбцы от одной линии — основа хорошего графика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Длина</w:t>
      </w:r>
      <w:r>
        <w:rPr>
          <w:rFonts w:ascii="Calibri" w:cs="Calibri" w:eastAsia="Calibri" w:hAnsi="Calibri"/>
        </w:rPr>
        <w:t xml:space="preserve"> — Столбцы и полосы: небольшая разница видна сразу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Угол</w:t>
      </w:r>
      <w:r>
        <w:rPr>
          <w:rFonts w:ascii="Calibri" w:cs="Calibri" w:eastAsia="Calibri" w:hAnsi="Calibri"/>
        </w:rPr>
        <w:t xml:space="preserve"> — Секторы круговой диаграммы: близкие доли не различить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Площадь</w:t>
      </w:r>
      <w:r>
        <w:rPr>
          <w:rFonts w:ascii="Calibri" w:cs="Calibri" w:eastAsia="Calibri" w:hAnsi="Calibri"/>
        </w:rPr>
        <w:t xml:space="preserve"> — Круги и пузыри разного размера: разницу легко переоценить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Оттенок цвета</w:t>
      </w:r>
      <w:r>
        <w:rPr>
          <w:rFonts w:ascii="Calibri" w:cs="Calibri" w:eastAsia="Calibri" w:hAnsi="Calibri"/>
        </w:rPr>
        <w:t xml:space="preserve"> — Светлее или темнее — годится для сигнала, не для точных чисел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рейтинг из классического исследования 1984 года. Когда сотрудник приносит график, спросите: можно ли сравнить по одной линии?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2. Картинки, которые изменили решения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Три исторических примера и один эксперимент со средними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Все три истории — о руководителях, которых убедил рисунок, а не таблица.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Джон Сноу: холера на Брод-стрит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КАРТА · ЛОНДОН · 1854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616</w:t>
            </w:r>
            <w:r>
              <w:rPr>
                <w:rFonts w:ascii="Calibri" w:cs="Calibri" w:eastAsia="Calibri" w:hAnsi="Calibri"/>
                <w:color w:val="0B1F1E"/>
              </w:rPr>
              <w:t xml:space="preserve">   человек умерли за вспышку холеры в Сохо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Врач Джон Сноу отметил смерти на карте улиц: они сгрудились вокруг одной водоразборной колонки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8 сентября 1854 года по его настоянию с колонки сняли ручку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Вспышка уже шла на спад: главную роль карта сыграла в том, что убедила власти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Карта превратила список смертей в понятную причину — и в управленческое решение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London Museum · PMC review (PMC7150208)  [3]</w:t>
            </w:r>
          </w:p>
        </w:tc>
      </w:tr>
    </w:tbl>
    <w:p>
      <w:pPr>
        <w:pStyle w:val="Small"/>
        <w:spacing w:after="120" w:before="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5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Честная оговорка: легенда «сняли ручку — эпидемия закончилась» преувеличена, вспышка уже затихала. Но именно карта сделала причину очевидной для властей. Какая «колонка» есть в ваших данных — место, где собираются случаи?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Флоренс Найтингейл: «роза» смертности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ДИАГРАММА · КРЫМСКАЯ ВОЙНА · 1855–1858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42%</w:t>
            </w:r>
            <w:r>
              <w:rPr>
                <w:rFonts w:ascii="Calibri" w:cs="Calibri" w:eastAsia="Calibri" w:hAnsi="Calibri"/>
                <w:color w:val="0B1F1E"/>
              </w:rPr>
              <w:t xml:space="preserve">   смертность в госпитале в Скутари к февралю 1855 года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Большинство солдат умирали не от ран, а от болезней, которые можно было предотвратить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Смертность снизилась после того, как санитарная комиссия (март 1855) исправила канализацию и вентиляцию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Диаграмма помогла убедить правительство провести санитарные реформы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Рисунок для руководителей: одна картинка показала, на что тратить ресурсы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National Army Museum · Understanding Uncertainty (D. Spiegelhalter)  [4]</w:t>
            </w:r>
          </w:p>
        </w:tc>
      </w:tr>
    </w:tbl>
    <w:p>
      <w:pPr>
        <w:pStyle w:val="Small"/>
        <w:spacing w:after="120" w:before="0"/>
      </w:pP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5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На рисунке каждый сектор — месяц; синие части — смерти от предотвратимых болезней, красные — от ран. Синие намного больше. Интересная деталь: сначала Найтингейл сама объясняла смертность питанием — данные изменили и её мнение. Заметьте: площадь секторов глаз сравнивает хуже, чем длину, — но для убеждения хватило масштаба разницы.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Шарль Минар: поход Наполеона в Россию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СХЕМА · ФРАНЦИЯ · 1869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422 000</w:t>
            </w:r>
            <w:r>
              <w:rPr>
                <w:rFonts w:ascii="Calibri" w:cs="Calibri" w:eastAsia="Calibri" w:hAnsi="Calibri"/>
                <w:color w:val="0B1F1E"/>
              </w:rPr>
              <w:t xml:space="preserve">   солдат вышли в поход; вернулись около 10 000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Ширина полосы — численность армии: она тает на глазах по пути к Москве и обратно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Внизу — шкала температуры на обратном пути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Одна схема: численность, место, направление, температура и время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Хороший рисунок соединяет несколько показателей — и история читается без пояснений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historyofinformation.com · Open Culture (2019)  [5]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Эдвард Тафти назвал эту схему, вероятно, лучшим статистическим графиком из когда-либо нарисованных. Для руководителя мысль простая: одна хорошо продуманная картинка заменяет много страниц таблиц.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У четырёх отделений одинаковые средние, разброс и корреляция (r = 0,816). Эти отделения похожи?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5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Да, одинаковые: все цифры совпадают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Нет, они разные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Нельзя сказать без новых данных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Нет, они разные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Разные: прямая, кривая, выброс, одна крайняя точка. Средние совпадают, а картина — нет. Всегда смотрите на рисунок, не только на средние.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Квартет Энскомба (1973) — реальный классический набор данных; здесь он подан как четыре отделения. Средние, разброс и корреляция у всех четырёх одинаковы. Прямая, кривая, один выброс, одна крайняя точка — четыре разные истории за одними и теми же средними.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3. Аналитика в здравоохранении сегодня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Панели, которые помогли — и которые не помогли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Пять реальных примеров: что сработало, что нет и почему. Внимание к источнику данных — главная нить части.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Johns Hopkins: панель COVID-19 для всего мира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МИРОВАЯ ПАНЕЛЬ · США · 2020–2023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3,6 млрд</w:t>
            </w:r>
            <w:r>
              <w:rPr>
                <w:rFonts w:ascii="Calibri" w:cs="Calibri" w:eastAsia="Calibri" w:hAnsi="Calibri"/>
                <w:color w:val="0B1F1E"/>
              </w:rPr>
              <w:t xml:space="preserve">   просмотров страницы к 1 июня 2022 года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Запущена 22 января 2020 года — первая общемировая панель по COVID-19, обновлявшаяся в реальном времени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Главная работа была не в рисовании карты, а в ежедневном сборе и сверке данных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Последнее обновление — 10 марта 2023 года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Панели верят, когда надёжны данные за ней, а не когда красив дизайн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Lancet Infect Dis 2020; 2022 (Dong, Du, Gardner et al.)  [7]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Панель создал Центр системных наук и инженерии (CSSE) университета, и она стала мировым ориентиром. Дополнительная цифра для интересующихся: 226 млрд обращений к слоям карты к июню 2022 года. Мысль: самое трудное и самое ценное — ежедневная, проверенная, единообразная выгрузка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Центр управления потоками пациентов Johns Hopkins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УПРАВЛЕНИЕ КОЙКАМИ · БАЛТИМОР, США · С 2016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30%</w:t>
            </w:r>
            <w:r>
              <w:rPr>
                <w:rFonts w:ascii="Calibri" w:cs="Calibri" w:eastAsia="Calibri" w:hAnsi="Calibri"/>
                <w:color w:val="0B1F1E"/>
              </w:rPr>
              <w:t xml:space="preserve">   быстрее пациенту из приёмного отделения назначают койку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Стена экранов получает около 500 сообщений в минуту из 14 информационных систем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Команда в одной комнате видит койки, переводы и выписку и сразу принимает решения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Приём сложных пациентов из других больниц вырос на 60%, выписка до полудня — на 21%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Панель работает, когда рядом с экраном есть люди с правом решать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Johns Hopkins Medicine (2016; 2021) · Newswise  [8]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Центр открыт в 2016 году вместе с GE Healthcare, в нём работает около 24 человек. По данным больницы, бригада реанимации выезжает на 63 минуты раньше, задержки переводов из операционных сократились на 70%. Это данные самой больницы.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Работает, если меняются процессы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Брэдфорд, Англия, 2018–2021: экран есть, эффекта нет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Изучено более 400 тысяч госпитализаций и обращений в приёмное отделение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Средний срок пребывания значимо не сократился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Ожидание в приёмном отделении на последнем этапе выросло на 62 минуты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Что должно измениться вместе с экраном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вносят сразу и полностью — иначе экран показывает пробелы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У экрана есть команда с правом решать: койки, переводы, выписка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Записано, что делаем, когда показатель стал красным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Результат измеряют до и после внедрения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Исследователи проанализировали 203 807 госпитализаций и 197 084 обращения в приёмное отделение. Их вывод: больницы не должны считать, что польза появится автоматически. Выпадающие списки и полнота данных — условие любой панели.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ВОЗ: карта устойчивости к антибиотикам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КАРТА ВОЗ · МИР · ОТЧЁТ 2025 ГОДА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 из 6</w:t>
            </w:r>
            <w:r>
              <w:rPr>
                <w:rFonts w:ascii="Calibri" w:cs="Calibri" w:eastAsia="Calibri" w:hAnsi="Calibri"/>
                <w:color w:val="0B1F1E"/>
              </w:rPr>
              <w:t xml:space="preserve">   бактериальных инфекций в 2023 году устойчивы к антибиотикам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регионах ВОЗ Юго-Восточной Азии и Восточного Средиземноморья — 1 из 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Более 40% кишечных палочек и 55% клебсиелл устойчивы к цефалоспоринам 3-го поколения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в систему GLASS передают 104 страны (в 2016 году — 25)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Карта показывает, где привычный антибиотик уже не работает; клинике нужна своя такая статистика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WHO, 13.10.2025 · GLASS dashboard  [10]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 данным ВОЗ, в 2018–2023 годах устойчивость росла на 5–15% в год. Видите ли вы по своей больнице, к каким антибиотикам устойчивы возбудители в вашей лаборатории? Это готовая плитка для панели заместителя по лечебной работе.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Google оценивал грипп по поисковым запросам. Как оценка соотносилась с данными врачей в феврале 2013 года?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Была более чем вдвое выше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Совпала почти точно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Была вдвое ниже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Отличалась не больше чем на 10%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Была более чем вдвое выше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Более чем вдвое выше данных CDC. И это не единичный сбой: оценка была завышена в 100 из 108 недель (2011–2013).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Google Flu Trends и FluNet ВОЗ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ИСТОЧНИК ДАННЫХ · США · 2011–2013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100 из 108</w:t>
            </w:r>
            <w:r>
              <w:rPr>
                <w:rFonts w:ascii="Calibri" w:cs="Calibri" w:eastAsia="Calibri" w:hAnsi="Calibri"/>
                <w:color w:val="0B1F1E"/>
              </w:rPr>
              <w:t xml:space="preserve">   недель Google Flu Trends завышал оценку гриппа (2011–2013)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Оценку строили по поисковым запросам людей, а не по данным врачей и лабораторий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феврале 2013 года оценка более чем вдвое превысила данные врачей (CDC)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FluNet ВОЗ с 1997 года показывает еженедельные лабораторные данные национальных центров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Панель надёжна настолько, насколько надёжен её источник: «больших» данных мало, нужны точные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Lazer et al., Science 343:1203 (2014) · WHO FluNet  [11, 12]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Сравнение двух подходов: косвенный сигнал (поиск в интернете) и прямые лабораторные данные. Для клиники это вопрос к любой панели: откуда эти числа — из первичной записи или из оценки?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Бристоль и Шипман: графики, которые видят отклонение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КОНТРОЛЬ КАЧЕСТВА · ВЕЛИКОБРИТАНИЯ · 1991–2003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30–35</w:t>
            </w:r>
            <w:r>
              <w:rPr>
                <w:rFonts w:ascii="Calibri" w:cs="Calibri" w:eastAsia="Calibri" w:hAnsi="Calibri"/>
                <w:color w:val="0B1F1E"/>
              </w:rPr>
              <w:t xml:space="preserve">   детей до 1 года умерли сверх ожидаемого (Бристоль, 1991–1995)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«Воронка» сравнивает больницы с учётом их размера: выброс это или малое число случаев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Расследование установило: семейный врач Гарольд Шипман убил 215 пациентов (1975–1998)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Накопительный график «смерти против ожидаемых» (CUSUM) за 1993–1999 годы подал сигнал и по нему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Сравнивайте с ожидаемым и следите за накоплением — помесячные таблицы такое скрывают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Bristol Royal Infirmary Inquiry (2001) · Aylin et al., Lancet 2003 · BJGP 2008  [13, 14]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Бристоль: независимое расследование 2001 года по детской кардиохирургии. Шипман: Aylin и соавторы (Lancet, 2003) применили накопительные графики к смертности пациентов семейных врачей за 1993–1999 годы — Шипман оказался среди тех, у кого график подал сигнал. По модели, такой график за 7 лет наблюдения выявил бы врача с 10 лишними смертями в год с вероятностью 82–97%.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4. Лаборатория критического чтения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Обрезанная ось, ложная причина и парадокс средних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Это вопросы, которые главный врач задаёт на совещании, когда ему показывают график.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Удовлетворённость пациентов (учебные данные). На глаз: во сколько раз выше столбец 2026 года?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5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Почти одинаковые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Примерно в 1,5 раза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Примерно в 2 раза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Примерно в 4 раза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Опрос без правильного ответа: оцените на глаз. Числа на столбцах специально скрыты.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Та же диаграмма, ось от нуля. Насколько удовлетворённость выросла на самом деле?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5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Примерно в 4 раза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На 3 процентных пункта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На 30%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 изменилась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На 3 процентных пункта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На 3 процентных пункта: 92% → 95%. На прошлом рисунке ось начиналась с 91%, поэтому столбец казался в 4 раза выше.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Те же данные, но теперь ось начинается с нуля и видны числа. Сравните с прошлым рисунком: столбцы почти равны. Исследования показывают, что обрезанная ось заставляет людей переоценивать разницу. Такие графики встречаются в отчётах — иногда случайно, иногда намеренно.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 районах, где больше врачей на 10 000 жителей, выше больничная летальность. Какой вывод верный?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5219700" cy="2438400"/>
                  <wp:effectExtent t="0" r="0" b="0" l="0"/>
                  <wp:docPr id="5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Нужно сократить число врачей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Врачи повышают летальность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Крупные центры лечат самых тяжёлых — нужны данные о тяжести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Это ошибка в данных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Крупные центры лечат самых тяжёлых — нужны данные о тяжести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Связь не доказывает причину. Тяжёлых больных направляют туда, где больше врачей. Нужен учёт тяжести случаев.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Учебные данные: 12 районов. По горизонтали — врачей на 10 000 жителей, по вертикали — больничная летальность. Связь заметная. В районах с большими центрами больше врачей, и туда направляют самых тяжёлых больных. Третий фактор — тяжесть случаев.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Успех лечения камней почек двумя методами (реальные данные). Какой метод лучше?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1084"/>
              <w:gridCol w:w="3976"/>
              <w:gridCol w:w="3978"/>
            </w:tblGrid>
            <w:tr>
              <w:trPr>
                <w:cantSplit/>
                <w:tblHeader/>
              </w:trPr>
              <w:tc>
                <w:tcPr>
                  <w:tcW w:type="dxa" w:w="1084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Камни</w:t>
                  </w:r>
                </w:p>
              </w:tc>
              <w:tc>
                <w:tcPr>
                  <w:tcW w:type="dxa" w:w="397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Метод А</w:t>
                  </w:r>
                </w:p>
              </w:tc>
              <w:tc>
                <w:tcPr>
                  <w:tcW w:type="dxa" w:w="397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9"/>
                      <w:szCs w:val="19"/>
                    </w:rPr>
                    <w:t xml:space="preserve">Метод Б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8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Малые</w:t>
                  </w:r>
                </w:p>
              </w:tc>
              <w:tc>
                <w:tcPr>
                  <w:tcW w:type="dxa" w:w="39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93% (81 из 87)</w:t>
                  </w:r>
                </w:p>
              </w:tc>
              <w:tc>
                <w:tcPr>
                  <w:tcW w:type="dxa" w:w="397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87% (234 из 270)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8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Крупные</w:t>
                  </w:r>
                </w:p>
              </w:tc>
              <w:tc>
                <w:tcPr>
                  <w:tcW w:type="dxa" w:w="39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73% (192 из 263)</w:t>
                  </w:r>
                </w:p>
              </w:tc>
              <w:tc>
                <w:tcPr>
                  <w:tcW w:type="dxa" w:w="397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69% (55 из 80)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8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Всего</w:t>
                  </w:r>
                </w:p>
              </w:tc>
              <w:tc>
                <w:tcPr>
                  <w:tcW w:type="dxa" w:w="39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78% (273 из 350)</w:t>
                  </w:r>
                </w:p>
              </w:tc>
              <w:tc>
                <w:tcPr>
                  <w:tcW w:type="dxa" w:w="397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9"/>
                      <w:szCs w:val="19"/>
                    </w:rPr>
                    <w:t xml:space="preserve">83% (289 из 350)</w:t>
                  </w:r>
                </w:p>
              </w:tc>
            </w:tr>
          </w:tbl>
          <w:p>
            <w:pPr>
              <w:pStyle w:val="Small"/>
              <w:spacing w:after="80" w:before="0"/>
            </w:pP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Метод Б: в целом успех выше (83%)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Одинаковы: разница небольшая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Сравнить нельзя: разное число пациентов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Метод А: лучше и при малых, и при крупных камнях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Метод А: лучше и при малых, и при крупных камнях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Метод А лучше в обеих группах. «Всего» вводит в заблуждение: методом Б чаще лечили лёгкие случаи. Сравнивайте внутри сопоставимых групп.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Реальные данные: исследование лечения камней почек (Charig и соавт., BMJ, 1986). Метод А — открытая операция, метод Б — чрескожная операция. Это парадокс Симпсона — методу Б чаще доставались лёгкие случаи (малые камни). Так же можно ошибиться, сравнивая отделения без учёта тяжести пациентов.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Шесть вопросов к любому графику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Источник и период</w:t>
      </w:r>
      <w:r>
        <w:rPr>
          <w:rFonts w:ascii="Calibri" w:cs="Calibri" w:eastAsia="Calibri" w:hAnsi="Calibri"/>
        </w:rPr>
        <w:t xml:space="preserve"> — Откуда данные, за какой период и когда обновлены?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Начало оси</w:t>
      </w:r>
      <w:r>
        <w:rPr>
          <w:rFonts w:ascii="Calibri" w:cs="Calibri" w:eastAsia="Calibri" w:hAnsi="Calibri"/>
        </w:rPr>
        <w:t xml:space="preserve"> — Ось от нуля? Обрезанная ось раздувает небольшую разницу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Доли, а не штуки</w:t>
      </w:r>
      <w:r>
        <w:rPr>
          <w:rFonts w:ascii="Calibri" w:cs="Calibri" w:eastAsia="Calibri" w:hAnsi="Calibri"/>
        </w:rPr>
        <w:t xml:space="preserve"> — Больше случаев — потому что больше пациентов? Нужен показатель на 1000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Сколько наблюдений</w:t>
      </w:r>
      <w:r>
        <w:rPr>
          <w:rFonts w:ascii="Calibri" w:cs="Calibri" w:eastAsia="Calibri" w:hAnsi="Calibri"/>
        </w:rPr>
        <w:t xml:space="preserve"> — При 5 пациентах один случай — это 20%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 чем сравниваем</w:t>
      </w:r>
      <w:r>
        <w:rPr>
          <w:rFonts w:ascii="Calibri" w:cs="Calibri" w:eastAsia="Calibri" w:hAnsi="Calibri"/>
        </w:rPr>
        <w:t xml:space="preserve"> — Цель, прошлый год, отделения того же профиля и тяжести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Связь — не причина</w:t>
      </w:r>
      <w:r>
        <w:rPr>
          <w:rFonts w:ascii="Calibri" w:cs="Calibri" w:eastAsia="Calibri" w:hAnsi="Calibri"/>
        </w:rPr>
        <w:t xml:space="preserve"> — Две линии растут вместе — ищите третий фактор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Пункт «доли, а не штуки» — самая частая ошибка: «больше всего больных в районе Х» без учёта числа жителей.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Какой вопрос — такой график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Тип графика выбирают по вопросу, на который он должен ответить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317"/>
        <w:gridCol w:w="3787"/>
        <w:gridCol w:w="3534"/>
      </w:tblGrid>
      <w:tr>
        <w:trPr>
          <w:cantSplit/>
          <w:tblHeader/>
        </w:trPr>
        <w:tc>
          <w:tcPr>
            <w:tcW w:type="dxa" w:w="2317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Вопрос</w:t>
            </w:r>
          </w:p>
        </w:tc>
        <w:tc>
          <w:tcPr>
            <w:tcW w:type="dxa" w:w="3787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График</w:t>
            </w:r>
          </w:p>
        </w:tc>
        <w:tc>
          <w:tcPr>
            <w:tcW w:type="dxa" w:w="3534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Сравнить категории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Столбчатая диаграмма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Ожидание по отделениям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Изменение во времени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Линейный график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Визиты по месяцам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Часть целого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Столбец 100% (круговая — только для 2–3 частей)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Доля электронных рецептов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Распределение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Гистограмма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Сколько пациентов ждали 0–3, 4–7, 8+ дней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Две категории сразу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Цветная таблица (тепловая карта)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Диагнозы по районам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Одно главное число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Карточка показателя с целью и динамикой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Занятость коек сегодня и цель</w:t>
            </w:r>
          </w:p>
        </w:tc>
      </w:tr>
      <w:tr>
        <w:trPr>
          <w:cantSplit/>
        </w:trPr>
        <w:tc>
          <w:tcPr>
            <w:tcW w:type="dxa" w:w="23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Чего избегать</w:t>
            </w:r>
          </w:p>
        </w:tc>
        <w:tc>
          <w:tcPr>
            <w:tcW w:type="dxa" w:w="3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3D-графики, круговые с многими секторами</w:t>
            </w:r>
          </w:p>
        </w:tc>
        <w:tc>
          <w:tcPr>
            <w:tcW w:type="dxa" w:w="3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Искажают пропорции, их трудно сравнивать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Глаз хорошо сравнивает длины столбцов и плохо — углы секторов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3D-графики и круговые диаграммы с многими секторами выбирают за внешний вид, но они мешают увидеть разницу.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Нужно сравнить время ожидания в 8 отделениях. Какой график выбрать?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Линейный график по отделениям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Круговая диаграмма из 8 секторов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Таблица из 8 строк с цифрами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Столбцы, отсортированные по убыванию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Столбцы, отсортированные по убыванию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Сравнение категорий — столбцы. Отсортируйте их, и худшее отделение будет первым. Линия нужна для изменений во времени.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Обратите внимание на сортировку: руководителю важно сразу видеть, где хуже всего.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5. Как устроена панель управления и где её сделать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Источники данных, программы и место хранения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Без технических деталей: что нужно знать руководителю, чтобы поставить задачу и задать правильные вопросы о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работает панель управления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5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Источники данных → модель данных → панель. Обновляется сама, без перепечатывания.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Источники: МИС, лаборатория, таблицы Excel. Модель данных — одно место, где данные очищают, объединяют и где записано, как считается каждый показатель. Панель лишь показывает результат и обновляется по расписанию. Источник может быть трёх видов: таблица (для обезличенных сводок), регулярная выгрузка из МИС или прямое подключение к базе — лучший вариант, но нужно согласие разработчика МИС.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Чем сегодня строят графики и сводки в вашей клинике?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Excel или Google Таблицы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Отчёты из МИС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Power BI или другая программа для панелей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Вручную, на бумаге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Пока не строят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Где сделать панель управления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Начинать можно бесплатно; важнее всего — где окажутся данные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095"/>
        <w:gridCol w:w="2708"/>
        <w:gridCol w:w="2513"/>
        <w:gridCol w:w="2322"/>
      </w:tblGrid>
      <w:tr>
        <w:trPr>
          <w:cantSplit/>
          <w:tblHeader/>
        </w:trPr>
        <w:tc>
          <w:tcPr>
            <w:tcW w:type="dxa" w:w="2095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Программа</w:t>
            </w:r>
          </w:p>
        </w:tc>
        <w:tc>
          <w:tcPr>
            <w:tcW w:type="dxa" w:w="2708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Что это</w:t>
            </w:r>
          </w:p>
        </w:tc>
        <w:tc>
          <w:tcPr>
            <w:tcW w:type="dxa" w:w="2513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Цена</w:t>
            </w:r>
          </w:p>
        </w:tc>
        <w:tc>
          <w:tcPr>
            <w:tcW w:type="dxa" w:w="2322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Где хранятся данные</w:t>
            </w:r>
          </w:p>
        </w:tc>
      </w:tr>
      <w:tr>
        <w:trPr>
          <w:cantSplit/>
        </w:trPr>
        <w:tc>
          <w:tcPr>
            <w:tcW w:type="dxa" w:w="2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Excel, Google Таблицы</w:t>
            </w:r>
          </w:p>
        </w:tc>
        <w:tc>
          <w:tcPr>
            <w:tcW w:type="dxa" w:w="2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Графики прямо в таблице</w:t>
            </w:r>
          </w:p>
        </w:tc>
        <w:tc>
          <w:tcPr>
            <w:tcW w:type="dxa" w:w="25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Excel — в составе Office; Таблицы — бесплатно</w:t>
            </w:r>
          </w:p>
        </w:tc>
        <w:tc>
          <w:tcPr>
            <w:tcW w:type="dxa" w:w="23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Excel — на компьютере; Таблицы — у Google</w:t>
            </w:r>
          </w:p>
        </w:tc>
      </w:tr>
      <w:tr>
        <w:trPr>
          <w:cantSplit/>
        </w:trPr>
        <w:tc>
          <w:tcPr>
            <w:tcW w:type="dxa" w:w="2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Google Data Studio (бывш. Looker Studio)</w:t>
            </w:r>
          </w:p>
        </w:tc>
        <w:tc>
          <w:tcPr>
            <w:tcW w:type="dxa" w:w="2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Панели из Таблиц, Excel, CSV</w:t>
            </w:r>
          </w:p>
        </w:tc>
        <w:tc>
          <w:tcPr>
            <w:tcW w:type="dxa" w:w="25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Бесплатно</w:t>
            </w:r>
          </w:p>
        </w:tc>
        <w:tc>
          <w:tcPr>
            <w:tcW w:type="dxa" w:w="23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Облако Google за рубежом</w:t>
            </w:r>
          </w:p>
        </w:tc>
      </w:tr>
      <w:tr>
        <w:trPr>
          <w:cantSplit/>
        </w:trPr>
        <w:tc>
          <w:tcPr>
            <w:tcW w:type="dxa" w:w="2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Microsoft Power BI</w:t>
            </w:r>
          </w:p>
        </w:tc>
        <w:tc>
          <w:tcPr>
            <w:tcW w:type="dxa" w:w="2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Панели с подключением к базам данных</w:t>
            </w:r>
          </w:p>
        </w:tc>
        <w:tc>
          <w:tcPr>
            <w:tcW w:type="dxa" w:w="25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Pro — 14 $ в месяц на пользователя</w:t>
            </w:r>
          </w:p>
        </w:tc>
        <w:tc>
          <w:tcPr>
            <w:tcW w:type="dxa" w:w="23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Облако Microsoft или свой Report Server</w:t>
            </w:r>
          </w:p>
        </w:tc>
      </w:tr>
      <w:tr>
        <w:trPr>
          <w:cantSplit/>
        </w:trPr>
        <w:tc>
          <w:tcPr>
            <w:tcW w:type="dxa" w:w="2095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Apache Superset</w:t>
            </w:r>
          </w:p>
        </w:tc>
        <w:tc>
          <w:tcPr>
            <w:tcW w:type="dxa" w:w="2708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Открытая программа для панелей</w:t>
            </w:r>
          </w:p>
        </w:tc>
        <w:tc>
          <w:tcPr>
            <w:tcW w:type="dxa" w:w="2513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Бесплатно, открытый код</w:t>
            </w:r>
          </w:p>
        </w:tc>
        <w:tc>
          <w:tcPr>
            <w:tcW w:type="dxa" w:w="2322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На своём сервере, можно в Узбекистане</w:t>
            </w:r>
          </w:p>
        </w:tc>
      </w:tr>
      <w:tr>
        <w:trPr>
          <w:cantSplit/>
        </w:trPr>
        <w:tc>
          <w:tcPr>
            <w:tcW w:type="dxa" w:w="2095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Metabase</w:t>
            </w:r>
          </w:p>
        </w:tc>
        <w:tc>
          <w:tcPr>
            <w:tcW w:type="dxa" w:w="2708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Вопросы к базе без программирования</w:t>
            </w:r>
          </w:p>
        </w:tc>
        <w:tc>
          <w:tcPr>
            <w:tcW w:type="dxa" w:w="2513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Бесплатная версия для своего сервера</w:t>
            </w:r>
          </w:p>
        </w:tc>
        <w:tc>
          <w:tcPr>
            <w:tcW w:type="dxa" w:w="2322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На своём сервере, можно в Узбекистане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Цены на октябрь 2026 г. Google переименовал Looker Studio в Data Studio в апреле 2026 г.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Не нужно запоминать названия. Главное различие — последний столбец. Облачные сервисы удобны для обезличенных сводок. Для данных пациентов — программы, которые IT-служба может установить на своём сервере в Узбекистане. Power BI Report Server — версия для своего сервера (лицензия SQL Server). У Metabase есть и платные облачные тарифы; бесплатна версия для своего сервера.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Где хранить данные панели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Данные пациентов — в МИС</w:t>
      </w:r>
      <w:r>
        <w:rPr>
          <w:rFonts w:ascii="Calibri" w:cs="Calibri" w:eastAsia="Calibri" w:hAnsi="Calibri"/>
        </w:rPr>
        <w:t xml:space="preserve"> — Особая категория и врачебная тайна: остаются в МИС и системах в Узбекистане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Своя панель — на своём сервере</w:t>
      </w:r>
      <w:r>
        <w:rPr>
          <w:rFonts w:ascii="Calibri" w:cs="Calibri" w:eastAsia="Calibri" w:hAnsi="Calibri"/>
        </w:rPr>
        <w:t xml:space="preserve"> — Superset, Metabase или Power BI Report Server можно установить в Узбекистане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Облачные панели — только сводки</w:t>
      </w:r>
      <w:r>
        <w:rPr>
          <w:rFonts w:ascii="Calibri" w:cs="Calibri" w:eastAsia="Calibri" w:hAnsi="Calibri"/>
        </w:rPr>
        <w:t xml:space="preserve"> — У Google нет центров обработки данных в Центральной Азии: туда — только обезличенные итоги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Доступ — по ролям</w:t>
      </w:r>
      <w:r>
        <w:rPr>
          <w:rFonts w:ascii="Calibri" w:cs="Calibri" w:eastAsia="Calibri" w:hAnsi="Calibri"/>
        </w:rPr>
        <w:t xml:space="preserve"> — Главный врач видит всю клинику, заведующий — своё отделение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 27.03.2026 по закону обязательно хранить в стране только биометрические, генетические данные и данные абонентов связи. Но данные о здоровье — особая категория и врачебная тайна, а условия передачи за рубеж, по оценке юристов, ещё не утверждены. Правило клиники: данные пациентов — в МИС; на внешние панели — только обезличенные сводки.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Панель больницы · учебные данные</w:t>
      </w:r>
    </w:p>
    <w:p>
      <w:pPr>
        <w:spacing w:after="80"/>
      </w:pPr>
      <w:r>
        <w:rPr>
          <w:rFonts w:ascii="Calibri" w:cs="Calibri" w:eastAsia="Calibri" w:hAnsi="Calibri"/>
        </w:rPr>
        <w:t xml:space="preserve">На занятии эта панель интерактивна: выбираете отделение и показатель — графики перестраиваются. Ниже — один из показателей панели по месяцам.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533650"/>
            <wp:effectExtent t="0" r="0" b="0" l="0"/>
            <wp:docPr id="5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Внутрибольничные инфекции на 1000 койко-дней · учебные данные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Учебные данные условной больницы. Внутрибольничные инфекции в хирургии — всплеск в августе (5,0 на 1000 койко-дней при обычных около 2); срок готовности анализов упал с ~26 до 13 часов после нового анализатора в мае; занятость коек в кардиологии выше 90% весь год. Визиты — пик зимой.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Откройте панель: в каком отделении в марте дольше всего ждут плановую госпитализацию?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Учебные данные, месяц: мар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1487"/>
              <w:gridCol w:w="929"/>
              <w:gridCol w:w="2470"/>
              <w:gridCol w:w="1451"/>
              <w:gridCol w:w="2701"/>
            </w:tblGrid>
            <w:tr>
              <w:trPr>
                <w:cantSplit/>
                <w:tblHeader/>
              </w:trPr>
              <w:tc>
                <w:tcPr>
                  <w:tcW w:type="dxa" w:w="1487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Отделение</w:t>
                  </w:r>
                </w:p>
              </w:tc>
              <w:tc>
                <w:tcPr>
                  <w:tcW w:type="dxa" w:w="929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Визиты</w:t>
                  </w:r>
                </w:p>
              </w:tc>
              <w:tc>
                <w:tcPr>
                  <w:tcW w:type="dxa" w:w="247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Ожидание плановой госпитализации, дней</w:t>
                  </w:r>
                </w:p>
              </w:tc>
              <w:tc>
                <w:tcPr>
                  <w:tcW w:type="dxa" w:w="145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Занятость коек, %</w:t>
                  </w:r>
                </w:p>
              </w:tc>
              <w:tc>
                <w:tcPr>
                  <w:tcW w:type="dxa" w:w="270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Внутрибольничные инфекции на 1000 койко-дней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1684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6,7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88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1,5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734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9,1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79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2,3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Кардиология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816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15,4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93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1,2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Неврология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563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7,7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85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1,1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1076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4,1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73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Гинекология</w:t>
                  </w:r>
                </w:p>
              </w:tc>
              <w:tc>
                <w:tcPr>
                  <w:tcW w:type="dxa" w:w="9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627</w:t>
                  </w:r>
                </w:p>
              </w:tc>
              <w:tc>
                <w:tcPr>
                  <w:tcW w:type="dxa" w:w="247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5,4</w:t>
                  </w:r>
                </w:p>
              </w:tc>
              <w:tc>
                <w:tcPr>
                  <w:tcW w:type="dxa" w:w="145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75</w:t>
                  </w:r>
                </w:p>
              </w:tc>
              <w:tc>
                <w:tcPr>
                  <w:tcW w:type="dxa" w:w="270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1,1</w:t>
                  </w:r>
                </w:p>
              </w:tc>
            </w:tr>
          </w:tbl>
          <w:p>
            <w:pPr>
              <w:pStyle w:val="Small"/>
              <w:spacing w:after="80" w:before="0"/>
            </w:pP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Терапия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Хирургия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Кардиология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Неврология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Кардиология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Кардиология: 15,4 дня в марте (хирургия — 9,1). Выбор показателя на панели дал ответ за секунды — без листания отчёта.</w:t>
            </w:r>
          </w:p>
        </w:tc>
      </w:tr>
    </w:tbl>
    <w:p>
      <w:pPr>
        <w:pStyle w:val="Small"/>
        <w:spacing w:after="100" w:before="0"/>
      </w:pP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6. Панель для главного врача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Упражнение: какие показатели вынести на главный экран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Соберите главный экран главного врача: выберите 6 плиток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Среднее ожидание приёма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Занятость коек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Средняя длительность пребывания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Повторные госпитализации за 30 дней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Доля неявок на приём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Доля электронных рецептов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Доля записей, заполненных в день приёма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Удовлетворённость пациентов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Текучесть кадров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Стоимость пролеченного случая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Дефицит основных лекарств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Внутрибольничные инфекции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Летальность в стационаре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Простои оборудования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Сверхурочные часы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Срок готовности анализов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Выберите ровно 6 плиток — больше на главный экран не поместится. Думайте о своей клинике, а не об идеальной.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поставить сотрудникам задачу на создание панели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Управленческий вопрос: какое решение поможет принять панель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Не больше 6–8 плиток на главном экране, у каждой — записанное определение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Источник: выгрузка или подключение к МИС, без ручного перепечатывания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Частота обновления: ежедневно, еженедельно или ежемесячно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Где работает панель: данные пациентов остаются в МИС, в Узбекистане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Кто видит: права доступа; на общих панелях — только обезличенные сводки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Что делаем при «красном» значении: кто, какое действие, в какой срок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Главный практический итог модуля: этот перечень можно завтра отдать заместителю или IT-специалисту. Как выбирать и рассчитывать сами показатели — тема занятия о KPI у другого преподавателя.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Итоговый тест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5 вопросов для самопроверки. Ответ и пояснение — сразу после каждого вопроса.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глаз замечает на экране быстрее всего, ещё до чтения?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Одну красную отметку среди серых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Одну цифру 7 среди других цифр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Небольшую разницу углов круговой диаграммы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Нужное значение в таблице из 36 чисел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Одну красную отметку среди серых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Цвет мозг замечает автоматически. Поэтому на панели красным выделяют только то, что требует действия.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У двух отделений одинаковые средние показатели. Что сделать перед выводом, что они похожи?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Ничего: одинаковые средние — одинаковые отделения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Посмотреть на график самих данных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Округлить показатели до целых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Сравнить только максимальные значения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Посмотреть на график самих данных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За одинаковыми средними могут стоять совсем разные данные, как в квартете Энскомба. Рисунок показывает то, что скрывает среднее.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Ось столбчатой диаграммы начинается не с нуля, а с 91%. К чему это приводит?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График становится точнее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Разница между столбцами кажется меньше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На восприятие это не влияет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Разница между столбцами кажется больше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Разница между столбцами кажется больше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Обрезанная ось преувеличивает разницу: 92% и 95% выглядят как «в 4 раза». Всегда проверяйте начало оси.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Отделение А в целом хуже отделения Б, но лучше в каждой группе тяжести. Как это объяснить?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Б получает больше лёгких пациентов — сравнивайте внутри групп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Это ошибка в расчётах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Группы тяжести не важны — смотрите на общий итог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Отделение А нужно закрыть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Б получает больше лёгких пациентов — сравнивайте внутри групп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Это парадокс Симпсона: общий итог зависит от того, каких пациентов больше. Сравнивайте сопоставимые группы.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Где можно разместить панель управления с данными пациентов?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 бесплатной облачной панели Google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 МИС или на своём сервере в Узбекистане, с доступом по ролям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В открытой панели в интернете, если поставить пароль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 Google Таблице с доступом по ссылке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В МИС или на своём сервере в Узбекистане, с доступом по ролям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Данные пациентов остаются в МИС или на сервере в Узбекистане. В облачные сервисы — только обезличенные сводки.</w:t>
            </w:r>
          </w:p>
        </w:tc>
      </w:tr>
    </w:tbl>
    <w:p>
      <w:pPr>
        <w:pStyle w:val="Small"/>
        <w:spacing w:after="100" w:before="0"/>
      </w:pP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Источники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Публикации и документы, на которые опираются цифры и примеры модуля. Ссылки проверены 2 октября 2026 года.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Healey, Perception in Visualization; Healey, Enns, IEEE TVCG 18(7), 2012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https://www.csc2.ncsu.edu/faculty/healey/PP/ ; https://dl.acm.org/doi/10.1109/TVCG.2011.127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Cleveland, McGill, Journal of the American Statistical Association 79, 1984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https://www.statsclass.com/dsci310/Notes/Cleveland_McGill_EPT.pdf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London Museum, John Snow and the Broad Street pump; PMC review; The Lancet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https://www.londonmuseum.org.uk/collections/london-stories/john-snow-cholera-broad-street-pump/ ; https://pmc.ncbi.nlm.nih.gov/articles/PMC7150208/ ; https://www.thelancet.com/journals/lancet/article/PIIS0140-6736(00)02442-9/abstract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National Army Museum, Florence Nightingale: the Lady with the Lamp; Understanding Uncertainty (D. Spiegelhalter)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https://www.nam.ac.uk/explore/florence-nightingale-lady-lamp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historyofinformation.com, Minard's map of Napoleon's Russian campaign; Open Culture, 2019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https://historyofinformation.com/detail.php?id=2787 ; https://www.openculture.com/2019/07/napoleons-disastrous-invasion-of-russia-explained-in-an-1869-data-visualization.html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Anscombe, The American Statistician 27(1), 1973 (R datasets::anscombe)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https://stat.ethz.ch/R-manual/R-patched/library/datasets/html/anscombe.html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Dong, Du, Gardner, Lancet Infectious Diseases, 2020; Lancet Infectious Diseases, 2022; World Economic Forum, 2023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https://www.thelancet.com/journals/laninf/article/PIIS1473-3099(20)30120-1/fulltext ; https://www.thelancet.com/journals/laninf/article/PIIS1473-3099(22)00434-0/fulltext ; https://www.weforum.org/stories/2023/03/covid-tracker-closing-down-johns-hopkins/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Johns Hopkins Medicine, Capacity Command Center (Newswise, 2016; 5-year article, 2021)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https://www.newswise.com/articles/the-johns-hopkins-hospital-launches-capacity-command-center-to-enhance-hospital-operations ; https://www.hopkinsmedicine.org/news/articles/2021/03/capacity-command-center-celebrates-5-years-of-improving-patient-safety-access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Bradford Royal Infirmary command centre, 2018–2021 (evaluation, PMC10566538)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https://pmc.ncbi.nlm.nih.gov/articles/PMC10566538/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WHO, WHO warns of widespread resistance to common antibiotics worldwide (GLASS), 13.10.2025; GLASS dashboard,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https://www.who.int/news/item/13-10-2025-who-warns-of-widespread-resistance-to-common-antibiotics-worldwide ; https://www.who.int/news/item/25-09-2025-updated-who-dashboard-offers-new-insights-on-antimicrobial-resistance-and-use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Lazer et al., The parable of Google Flu, Science 343:1203, 2014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https://gking.harvard.edu/publication/the-parable-of-google-flu-traps-in-big-data-analysis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WHO, FluNet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https://www.who.int/tools/flunet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Bristol Royal Infirmary Inquiry, Final report summary, 2001; UK Parliament (Hansard), 2001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https://www.bristol-inquiry.org.uk/final_report/Summary.pdf ; https://api.parliament.uk/historic-hansard/commons/2001/jul/18/bristol-royal-infirmary-inquiry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Aylin et al., The Lancet, 2003; British Journal of General Practice, 2008 (Shipman, CUSUM)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https://www.thelancet.com/journals/lancet/article/PIIS0140-6736(03)14077-9/abstract ; https://pmc.ncbi.nlm.nih.gov/articles/PMC2435678/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Pandey et al., CHI 2015; Correll et al. (truncated axes)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https://dl.acm.org/doi/10.1145/2702123.2702608 ; https://arxiv.org/pdf/1907.02035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Charig et al., kidney stone treatment, BMJ 1986;292:879 (review with the original numbers)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https://www.ncbi.nlm.nih.gov/pmc/articles/PMC9960320/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Google Cloud Blog, Looker Studio is now Data Studio, 2026; Data Studio data sources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https://cloud.google.com/blog/products/data-analytics/looker-studio-is-data-studio ; https://docs.cloud.google.com/looker/docs/studio/about-data-sources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Microsoft, Power BI pricing; SQL Server licensing (Power BI Report Server)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https://www.microsoft.com/en-us/power-platform/products/power-bi/pricing ; https://www.microsoft.com/licensing/guidance/sql ; https://samexpert.com/sql-server-2025-licensing-update/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Apache Superset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https://superset.apache.org/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Metabase, pricing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https://www.metabase.com/pricing/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Google, Data center locations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https://datacenters.google/locations/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</w:rPr>
        <w:t xml:space="preserve">Law ZRU-547 «On personal data», Art. 27¹ as amended by ZRU-1125 of 26.03.2026 (lex.uz); ITTS review,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https://lex.uz/docs/8104580 ; https://itts.uz/news/pdn_local_review1/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A7F7C"/>
        <w:sz w:val="17"/>
        <w:szCs w:val="17"/>
      </w:rPr>
      <w:t xml:space="preserve">WIUT · 2026   ·   </w:t>
    </w:r>
    <w:r>
      <w:rPr>
        <w:rFonts w:ascii="Calibri" w:cs="Calibri" w:eastAsia="Calibri" w:hAnsi="Calibri"/>
        <w:color w:val="6A7F7C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6E4" w:sz="4" w:space="4"/>
      </w:pBdr>
      <w:jc w:val="right"/>
    </w:pPr>
    <w:r>
      <w:rPr>
        <w:rFonts w:ascii="Calibri" w:cs="Calibri" w:eastAsia="Calibri" w:hAnsi="Calibri"/>
        <w:color w:val="6A7F7C"/>
        <w:sz w:val="17"/>
        <w:szCs w:val="17"/>
      </w:rPr>
      <w:t xml:space="preserve">Модуль 3 · Визуальный анализ и панели управления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84"/>
      </w:pPr>
      <w:rPr>
        <w:color w:val="0F8B7E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340"/>
      </w:pPr>
      <w:rPr>
        <w:b/>
        <w:bCs/>
        <w:color w:val="0A645C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1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240" w:line="264"/>
      <w:outlineLvl w:val="0"/>
    </w:pPr>
    <w:rPr>
      <w:rFonts w:ascii="Calibri" w:cs="Calibri" w:eastAsia="Calibri" w:hAnsi="Calibri"/>
      <w:b/>
      <w:bCs/>
      <w:color w:val="0F8B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64"/>
      <w:outlineLvl w:val="1"/>
    </w:pPr>
    <w:rPr>
      <w:rFonts w:ascii="Calibri" w:cs="Calibri" w:eastAsia="Calibri" w:hAnsi="Calibri"/>
      <w:b/>
      <w:bCs/>
      <w:color w:val="0F8B7E"/>
      <w:sz w:val="28"/>
      <w:szCs w:val="28"/>
    </w:rPr>
  </w:style>
  <w:style w:type="paragraph" w:styleId="Small">
    <w:name w:val="Small"/>
    <w:basedOn w:val="Normal"/>
    <w:pPr>
      <w:spacing w:after="0" w:line="240"/>
    </w:pPr>
    <w:rPr>
      <w:sz w:val="8"/>
      <w:szCs w:val="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ef753c7e5933312578799084a97675b820d12708.png"/><Relationship Id="rId12" Type="http://schemas.openxmlformats.org/officeDocument/2006/relationships/image" Target="media/a465c625a52965663ad0676762a6fce77e591368.png"/><Relationship Id="rId13" Type="http://schemas.openxmlformats.org/officeDocument/2006/relationships/image" Target="media/d70402988a01e0e0661a1b8f868473eaf9e71c6a.png"/><Relationship Id="rId14" Type="http://schemas.openxmlformats.org/officeDocument/2006/relationships/image" Target="media/a129a2bb663b055c158b13725ccd062514b74be7.png"/><Relationship Id="rId15" Type="http://schemas.openxmlformats.org/officeDocument/2006/relationships/image" Target="media/bfb5e77e1a1235ee273be3d9d42dc66eec220faa.png"/><Relationship Id="rId16" Type="http://schemas.openxmlformats.org/officeDocument/2006/relationships/image" Target="media/520e366890f11f5373d45d1bf49a38006223073c.png"/><Relationship Id="rId17" Type="http://schemas.openxmlformats.org/officeDocument/2006/relationships/image" Target="media/2d1c2d7d414765f6f3f4713717c6ae685b14ecbf.png"/><Relationship Id="rId18" Type="http://schemas.openxmlformats.org/officeDocument/2006/relationships/image" Target="media/86da1b439d5c79f386984ac2f5687d9431199e22.png"/><Relationship Id="rId19" Type="http://schemas.openxmlformats.org/officeDocument/2006/relationships/image" Target="media/6a4b76962ba4315805e66f4045be9ff5cc7c4ecd.png"/><Relationship Id="rId20" Type="http://schemas.openxmlformats.org/officeDocument/2006/relationships/image" Target="media/5b8d5042131c7342cdbc927703a0cb1adac01de7.png"/><Relationship Id="rId21" Type="http://schemas.openxmlformats.org/officeDocument/2006/relationships/image" Target="media/097d1ffc01b913783940b80a97c2ded9e57703a0.png"/><Relationship Id="rId22" Type="http://schemas.openxmlformats.org/officeDocument/2006/relationships/image" Target="media/9a46fa6a3a97d17175a17aacd1c3be76f3959246.png"/><Relationship Id="rId23" Type="http://schemas.openxmlformats.org/officeDocument/2006/relationships/image" Target="media/707b56c2e7dbd8d8ff92517963b816f015a5ab1a.png"/><Relationship Id="rId24" Type="http://schemas.openxmlformats.org/officeDocument/2006/relationships/image" Target="media/4f6f1597d8f8c885792955b31fe657420e8fe22b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3. Визуальный анализ и панели управления — Конспект для слушателей</dc:title>
  <dc:creator>Шохрух Султанов</dc:creator>
  <dc:description>От цифр к решению за 5 секунд</dc:description>
  <cp:lastModifiedBy>Un-named</cp:lastModifiedBy>
  <cp:revision>1</cp:revision>
  <dcterms:created xsi:type="dcterms:W3CDTF">2026-10-02T11:06:33.279Z</dcterms:created>
  <dcterms:modified xsi:type="dcterms:W3CDTF">2026-10-02T11:06:33.280Z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